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m" ContentType="application/vnd.ms-excel.sheet.macroEnabled.12"/>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BCEEFB" w14:textId="77777777" w:rsidR="003B6CDD" w:rsidRPr="000506AC" w:rsidRDefault="00F84378" w:rsidP="003B6CDD">
      <w:pPr>
        <w:spacing w:after="40"/>
        <w:jc w:val="center"/>
        <w:rPr>
          <w:rFonts w:cs="Arial"/>
          <w:b/>
          <w:color w:val="A6A6A6" w:themeColor="background1" w:themeShade="A6"/>
        </w:rPr>
      </w:pPr>
      <w:r>
        <w:rPr>
          <w:noProof/>
        </w:rPr>
        <w:drawing>
          <wp:anchor distT="0" distB="0" distL="114300" distR="114300" simplePos="0" relativeHeight="251658240" behindDoc="1" locked="0" layoutInCell="1" allowOverlap="1" wp14:anchorId="12399792" wp14:editId="5D87F81C">
            <wp:simplePos x="0" y="0"/>
            <wp:positionH relativeFrom="column">
              <wp:posOffset>-906780</wp:posOffset>
            </wp:positionH>
            <wp:positionV relativeFrom="paragraph">
              <wp:posOffset>-929640</wp:posOffset>
            </wp:positionV>
            <wp:extent cx="7635240" cy="10733802"/>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639815" cy="1074023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628CA08" w14:textId="77777777" w:rsidR="003B6CDD" w:rsidRPr="000506AC" w:rsidRDefault="003B6CDD" w:rsidP="003B6CDD">
      <w:pPr>
        <w:spacing w:after="40"/>
        <w:jc w:val="center"/>
        <w:rPr>
          <w:rFonts w:cs="Arial"/>
          <w:b/>
          <w:color w:val="A6A6A6" w:themeColor="background1" w:themeShade="A6"/>
        </w:rPr>
      </w:pPr>
    </w:p>
    <w:p w14:paraId="25DB6D40" w14:textId="77777777" w:rsidR="003B6CDD" w:rsidRPr="000506AC" w:rsidRDefault="00DC2AA1" w:rsidP="003B6CDD">
      <w:pPr>
        <w:spacing w:after="40"/>
        <w:jc w:val="center"/>
        <w:rPr>
          <w:rFonts w:cs="Arial"/>
          <w:b/>
          <w:color w:val="A6A6A6" w:themeColor="background1" w:themeShade="A6"/>
        </w:rPr>
      </w:pPr>
      <w:r w:rsidRPr="000506AC">
        <w:rPr>
          <w:rFonts w:cs="Arial"/>
          <w:noProof/>
        </w:rPr>
        <w:drawing>
          <wp:anchor distT="0" distB="0" distL="114300" distR="114300" simplePos="0" relativeHeight="251658241" behindDoc="0" locked="0" layoutInCell="1" allowOverlap="1" wp14:anchorId="187CE88C" wp14:editId="0AF1F703">
            <wp:simplePos x="0" y="0"/>
            <wp:positionH relativeFrom="margin">
              <wp:posOffset>586740</wp:posOffset>
            </wp:positionH>
            <wp:positionV relativeFrom="paragraph">
              <wp:posOffset>115570</wp:posOffset>
            </wp:positionV>
            <wp:extent cx="4558145" cy="16002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58145" cy="1600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FAE9A5" w14:textId="77777777" w:rsidR="003B6CDD" w:rsidRPr="000506AC" w:rsidRDefault="003B6CDD" w:rsidP="003B6CDD">
      <w:pPr>
        <w:spacing w:after="40"/>
        <w:jc w:val="center"/>
        <w:rPr>
          <w:rFonts w:cs="Arial"/>
          <w:b/>
          <w:color w:val="A6A6A6" w:themeColor="background1" w:themeShade="A6"/>
        </w:rPr>
      </w:pPr>
    </w:p>
    <w:p w14:paraId="4DE23E06" w14:textId="77777777" w:rsidR="003B6CDD" w:rsidRPr="000506AC" w:rsidRDefault="003B6CDD" w:rsidP="003B6CDD">
      <w:pPr>
        <w:spacing w:after="40"/>
        <w:jc w:val="center"/>
        <w:rPr>
          <w:rFonts w:cs="Arial"/>
          <w:b/>
          <w:color w:val="A6A6A6" w:themeColor="background1" w:themeShade="A6"/>
        </w:rPr>
      </w:pPr>
    </w:p>
    <w:p w14:paraId="7B725959" w14:textId="77777777" w:rsidR="003B6CDD" w:rsidRPr="000506AC" w:rsidRDefault="003B6CDD" w:rsidP="003B6CDD">
      <w:pPr>
        <w:spacing w:after="40"/>
        <w:jc w:val="center"/>
        <w:rPr>
          <w:rFonts w:cs="Arial"/>
          <w:b/>
          <w:color w:val="A6A6A6" w:themeColor="background1" w:themeShade="A6"/>
        </w:rPr>
      </w:pPr>
    </w:p>
    <w:p w14:paraId="6CDA9E1F" w14:textId="77777777" w:rsidR="003B6CDD" w:rsidRPr="000506AC" w:rsidRDefault="003B6CDD" w:rsidP="003B6CDD">
      <w:pPr>
        <w:spacing w:after="40"/>
        <w:jc w:val="center"/>
        <w:rPr>
          <w:rFonts w:cs="Arial"/>
          <w:b/>
          <w:color w:val="A6A6A6" w:themeColor="background1" w:themeShade="A6"/>
        </w:rPr>
      </w:pPr>
    </w:p>
    <w:p w14:paraId="19F0EF98" w14:textId="77777777" w:rsidR="003B6CDD" w:rsidRPr="000506AC" w:rsidRDefault="003B6CDD" w:rsidP="003B6CDD">
      <w:pPr>
        <w:spacing w:after="40"/>
        <w:jc w:val="center"/>
        <w:rPr>
          <w:rFonts w:cs="Arial"/>
          <w:b/>
          <w:color w:val="A6A6A6" w:themeColor="background1" w:themeShade="A6"/>
        </w:rPr>
      </w:pPr>
    </w:p>
    <w:p w14:paraId="4B245616" w14:textId="77777777" w:rsidR="003B6CDD" w:rsidRPr="000506AC" w:rsidRDefault="003B6CDD" w:rsidP="003B6CDD">
      <w:pPr>
        <w:spacing w:after="40"/>
        <w:jc w:val="center"/>
        <w:rPr>
          <w:rFonts w:cs="Arial"/>
          <w:b/>
          <w:color w:val="A6A6A6" w:themeColor="background1" w:themeShade="A6"/>
        </w:rPr>
      </w:pPr>
    </w:p>
    <w:p w14:paraId="4C0768DA" w14:textId="77777777" w:rsidR="003B6CDD" w:rsidRPr="000506AC" w:rsidRDefault="003B6CDD" w:rsidP="003B6CDD">
      <w:pPr>
        <w:spacing w:after="40"/>
        <w:jc w:val="center"/>
        <w:rPr>
          <w:rFonts w:cs="Arial"/>
          <w:b/>
          <w:color w:val="A6A6A6" w:themeColor="background1" w:themeShade="A6"/>
        </w:rPr>
      </w:pPr>
    </w:p>
    <w:p w14:paraId="534E4B63" w14:textId="77777777" w:rsidR="003B6CDD" w:rsidRPr="000506AC" w:rsidRDefault="003B6CDD" w:rsidP="003B6CDD">
      <w:pPr>
        <w:spacing w:after="40"/>
        <w:jc w:val="center"/>
        <w:rPr>
          <w:rFonts w:cs="Arial"/>
          <w:b/>
          <w:color w:val="A6A6A6" w:themeColor="background1" w:themeShade="A6"/>
        </w:rPr>
      </w:pPr>
    </w:p>
    <w:p w14:paraId="7DAEE6C8" w14:textId="77777777" w:rsidR="003B6CDD" w:rsidRPr="000506AC" w:rsidRDefault="003B6CDD" w:rsidP="003B6CDD">
      <w:pPr>
        <w:spacing w:after="40"/>
        <w:jc w:val="center"/>
        <w:rPr>
          <w:rFonts w:cs="Arial"/>
          <w:b/>
          <w:color w:val="A6A6A6" w:themeColor="background1" w:themeShade="A6"/>
        </w:rPr>
      </w:pPr>
    </w:p>
    <w:p w14:paraId="39D89459" w14:textId="77777777" w:rsidR="003B6CDD" w:rsidRPr="000506AC" w:rsidRDefault="003B6CDD" w:rsidP="003B6CDD">
      <w:pPr>
        <w:spacing w:after="40"/>
        <w:jc w:val="center"/>
        <w:rPr>
          <w:rFonts w:cs="Arial"/>
          <w:b/>
          <w:color w:val="A6A6A6" w:themeColor="background1" w:themeShade="A6"/>
        </w:rPr>
      </w:pPr>
    </w:p>
    <w:p w14:paraId="44BFE064" w14:textId="77777777" w:rsidR="003B6CDD" w:rsidRPr="000506AC" w:rsidRDefault="003B6CDD" w:rsidP="003B6CDD">
      <w:pPr>
        <w:spacing w:after="40"/>
        <w:jc w:val="center"/>
        <w:rPr>
          <w:rFonts w:cs="Arial"/>
          <w:color w:val="A6A6A6" w:themeColor="background1" w:themeShade="A6"/>
          <w:w w:val="110"/>
        </w:rPr>
      </w:pPr>
      <w:r w:rsidRPr="000506AC">
        <w:rPr>
          <w:rFonts w:cs="Arial"/>
          <w:b/>
          <w:color w:val="A6A6A6" w:themeColor="background1" w:themeShade="A6"/>
        </w:rPr>
        <w:t>Grant agreement nº:</w:t>
      </w:r>
      <w:r w:rsidRPr="000506AC">
        <w:rPr>
          <w:rFonts w:cs="Arial"/>
          <w:color w:val="A6A6A6" w:themeColor="background1" w:themeShade="A6"/>
        </w:rPr>
        <w:t xml:space="preserve"> </w:t>
      </w:r>
      <w:r w:rsidRPr="000506AC">
        <w:rPr>
          <w:rFonts w:cs="Arial"/>
          <w:color w:val="A6A6A6" w:themeColor="background1" w:themeShade="A6"/>
          <w:w w:val="110"/>
        </w:rPr>
        <w:t>101060133</w:t>
      </w:r>
    </w:p>
    <w:p w14:paraId="10102FCD" w14:textId="77777777" w:rsidR="003B6CDD" w:rsidRPr="000506AC" w:rsidRDefault="003B6CDD" w:rsidP="003B6CDD">
      <w:pPr>
        <w:spacing w:after="40"/>
        <w:jc w:val="center"/>
        <w:rPr>
          <w:rFonts w:cs="Arial"/>
          <w:color w:val="A6A6A6" w:themeColor="background1" w:themeShade="A6"/>
        </w:rPr>
      </w:pPr>
      <w:r w:rsidRPr="000506AC">
        <w:rPr>
          <w:rFonts w:cs="Arial"/>
          <w:b/>
          <w:color w:val="A6A6A6" w:themeColor="background1" w:themeShade="A6"/>
        </w:rPr>
        <w:t>Project acronym</w:t>
      </w:r>
      <w:r w:rsidRPr="000506AC">
        <w:rPr>
          <w:rFonts w:cs="Arial"/>
          <w:color w:val="A6A6A6" w:themeColor="background1" w:themeShade="A6"/>
        </w:rPr>
        <w:t>: HARMONITOR</w:t>
      </w:r>
    </w:p>
    <w:p w14:paraId="58068C49" w14:textId="77777777" w:rsidR="003B6CDD" w:rsidRPr="000506AC" w:rsidRDefault="003B6CDD" w:rsidP="003B6CDD">
      <w:pPr>
        <w:jc w:val="center"/>
        <w:rPr>
          <w:rFonts w:cs="Arial"/>
          <w:color w:val="A6A6A6" w:themeColor="background1" w:themeShade="A6"/>
        </w:rPr>
      </w:pPr>
      <w:r w:rsidRPr="000506AC">
        <w:rPr>
          <w:rFonts w:cs="Arial"/>
          <w:b/>
          <w:color w:val="A6A6A6" w:themeColor="background1" w:themeShade="A6"/>
        </w:rPr>
        <w:t>Project title</w:t>
      </w:r>
      <w:r w:rsidRPr="000506AC">
        <w:rPr>
          <w:rFonts w:cs="Arial"/>
          <w:color w:val="A6A6A6" w:themeColor="background1" w:themeShade="A6"/>
        </w:rPr>
        <w:t>: Harmonisation and monitoring platform for certification of bio-based systems</w:t>
      </w:r>
    </w:p>
    <w:p w14:paraId="0E40AAEF" w14:textId="77777777" w:rsidR="003B6CDD" w:rsidRPr="000506AC" w:rsidRDefault="003B6CDD" w:rsidP="003B6CDD">
      <w:pPr>
        <w:jc w:val="center"/>
        <w:rPr>
          <w:rFonts w:cs="Arial"/>
          <w:color w:val="A6A6A6" w:themeColor="background1" w:themeShade="A6"/>
        </w:rPr>
      </w:pPr>
    </w:p>
    <w:sdt>
      <w:sdtPr>
        <w:rPr>
          <w:rFonts w:ascii="Arial" w:hAnsi="Arial" w:cs="Arial"/>
          <w:color w:val="7F7F7F"/>
        </w:rPr>
        <w:alias w:val="Title"/>
        <w:tag w:val=""/>
        <w:id w:val="-1356425911"/>
        <w:placeholder>
          <w:docPart w:val="5D22573D90574EADBF9EF81E0D4A01A6"/>
        </w:placeholder>
        <w:dataBinding w:prefixMappings="xmlns:ns0='http://purl.org/dc/elements/1.1/' xmlns:ns1='http://schemas.openxmlformats.org/package/2006/metadata/core-properties' " w:xpath="/ns1:coreProperties[1]/ns0:title[1]" w:storeItemID="{6C3C8BC8-F283-45AE-878A-BAB7291924A1}"/>
        <w:text/>
      </w:sdtPr>
      <w:sdtContent>
        <w:p w14:paraId="61EA4134" w14:textId="77777777" w:rsidR="003B6CDD" w:rsidRPr="00632439" w:rsidRDefault="001922AC" w:rsidP="002974A0">
          <w:pPr>
            <w:pStyle w:val="Title"/>
            <w:jc w:val="center"/>
            <w:rPr>
              <w:rFonts w:ascii="Arial" w:hAnsi="Arial" w:cs="Arial"/>
              <w:color w:val="7F7F7F"/>
            </w:rPr>
          </w:pPr>
          <w:r>
            <w:rPr>
              <w:rFonts w:ascii="Arial" w:hAnsi="Arial" w:cs="Arial"/>
              <w:color w:val="7F7F7F"/>
            </w:rPr>
            <w:t>D</w:t>
          </w:r>
          <w:r w:rsidR="006956E5">
            <w:rPr>
              <w:rFonts w:ascii="Arial" w:hAnsi="Arial" w:cs="Arial"/>
              <w:color w:val="7F7F7F"/>
            </w:rPr>
            <w:t>6</w:t>
          </w:r>
          <w:r>
            <w:rPr>
              <w:rFonts w:ascii="Arial" w:hAnsi="Arial" w:cs="Arial"/>
              <w:color w:val="7F7F7F"/>
            </w:rPr>
            <w:t>.</w:t>
          </w:r>
          <w:r w:rsidR="006956E5">
            <w:rPr>
              <w:rFonts w:ascii="Arial" w:hAnsi="Arial" w:cs="Arial"/>
              <w:color w:val="7F7F7F"/>
            </w:rPr>
            <w:t>1</w:t>
          </w:r>
        </w:p>
      </w:sdtContent>
    </w:sdt>
    <w:sdt>
      <w:sdtPr>
        <w:rPr>
          <w:rStyle w:val="PlaceholderText"/>
          <w:rFonts w:ascii="Arial" w:hAnsi="Arial" w:cs="Arial"/>
          <w:color w:val="7F7F7F"/>
        </w:rPr>
        <w:alias w:val="Subject"/>
        <w:tag w:val=""/>
        <w:id w:val="-2026320759"/>
        <w:placeholder>
          <w:docPart w:val="3D2E21BB01824856BF2C3F1DD3D33FD9"/>
        </w:placeholder>
        <w:dataBinding w:prefixMappings="xmlns:ns0='http://purl.org/dc/elements/1.1/' xmlns:ns1='http://schemas.openxmlformats.org/package/2006/metadata/core-properties' " w:xpath="/ns1:coreProperties[1]/ns0:subject[1]" w:storeItemID="{6C3C8BC8-F283-45AE-878A-BAB7291924A1}"/>
        <w:text/>
      </w:sdtPr>
      <w:sdtContent>
        <w:p w14:paraId="72D45270" w14:textId="77777777" w:rsidR="00D45A1B" w:rsidRPr="000506AC" w:rsidRDefault="006956E5" w:rsidP="006956E5">
          <w:pPr>
            <w:pStyle w:val="Title"/>
            <w:jc w:val="center"/>
          </w:pPr>
          <w:r w:rsidRPr="006956E5">
            <w:rPr>
              <w:rStyle w:val="PlaceholderText"/>
              <w:rFonts w:ascii="Arial" w:hAnsi="Arial" w:cs="Arial"/>
              <w:color w:val="7F7F7F"/>
            </w:rPr>
            <w:t>Online database with (in)direct costs and benefits</w:t>
          </w:r>
        </w:p>
      </w:sdtContent>
    </w:sdt>
    <w:p w14:paraId="566B77C4" w14:textId="77777777" w:rsidR="003B6CDD" w:rsidRPr="000506AC" w:rsidRDefault="003B6CDD" w:rsidP="003B6CDD">
      <w:pPr>
        <w:spacing w:after="40"/>
        <w:rPr>
          <w:rFonts w:cs="Arial"/>
          <w:color w:val="66BBCA"/>
        </w:rPr>
      </w:pPr>
    </w:p>
    <w:p w14:paraId="73DE7563" w14:textId="77777777" w:rsidR="003B6CDD" w:rsidRPr="000506AC" w:rsidRDefault="003B6CDD" w:rsidP="003B6CDD">
      <w:pPr>
        <w:spacing w:after="40"/>
        <w:jc w:val="center"/>
        <w:rPr>
          <w:rFonts w:cs="Arial"/>
          <w:color w:val="A6A6A6" w:themeColor="background1" w:themeShade="A6"/>
        </w:rPr>
      </w:pPr>
      <w:r w:rsidRPr="000506AC">
        <w:rPr>
          <w:rFonts w:cs="Arial"/>
          <w:b/>
          <w:color w:val="66BBCA"/>
        </w:rPr>
        <w:t>Date of deliverable:</w:t>
      </w:r>
      <w:r w:rsidRPr="000506AC">
        <w:rPr>
          <w:rFonts w:cs="Arial"/>
          <w:color w:val="66BBCA"/>
        </w:rPr>
        <w:t xml:space="preserve"> </w:t>
      </w:r>
      <w:sdt>
        <w:sdtPr>
          <w:rPr>
            <w:rFonts w:cs="Arial"/>
            <w:b/>
            <w:color w:val="A6A6A6" w:themeColor="background1" w:themeShade="A6"/>
          </w:rPr>
          <w:id w:val="-1620682185"/>
          <w:placeholder>
            <w:docPart w:val="6127859B3CA8406B87CC3490E13D5FB4"/>
          </w:placeholder>
          <w:date w:fullDate="2024-05-31T00:00:00Z">
            <w:dateFormat w:val="dd/MM/yyyy"/>
            <w:lid w:val="en-GB"/>
            <w:storeMappedDataAs w:val="dateTime"/>
            <w:calendar w:val="gregorian"/>
          </w:date>
        </w:sdtPr>
        <w:sdtContent>
          <w:r w:rsidR="006956E5">
            <w:rPr>
              <w:rFonts w:cs="Arial"/>
              <w:b/>
              <w:color w:val="A6A6A6" w:themeColor="background1" w:themeShade="A6"/>
            </w:rPr>
            <w:t>31/05/2024</w:t>
          </w:r>
        </w:sdtContent>
      </w:sdt>
    </w:p>
    <w:p w14:paraId="384A5957" w14:textId="77777777" w:rsidR="003B6CDD" w:rsidRPr="000506AC" w:rsidRDefault="003B6CDD" w:rsidP="003B6CDD">
      <w:pPr>
        <w:spacing w:after="40"/>
        <w:jc w:val="center"/>
        <w:rPr>
          <w:rFonts w:cs="Arial"/>
          <w:b/>
          <w:color w:val="A6A6A6" w:themeColor="background1" w:themeShade="A6"/>
        </w:rPr>
      </w:pPr>
      <w:r w:rsidRPr="000506AC">
        <w:rPr>
          <w:rFonts w:cs="Arial"/>
          <w:b/>
          <w:color w:val="66BBCA"/>
        </w:rPr>
        <w:t xml:space="preserve">Actual submission date: </w:t>
      </w:r>
      <w:sdt>
        <w:sdtPr>
          <w:rPr>
            <w:rFonts w:cs="Arial"/>
            <w:b/>
            <w:color w:val="A6A6A6" w:themeColor="background1" w:themeShade="A6"/>
          </w:rPr>
          <w:id w:val="-757600780"/>
          <w:placeholder>
            <w:docPart w:val="EC43B2AF5A944BAAB6F950F12064CDD6"/>
          </w:placeholder>
          <w:date w:fullDate="2024-05-28T00:00:00Z">
            <w:dateFormat w:val="dd/MM/yyyy"/>
            <w:lid w:val="en-GB"/>
            <w:storeMappedDataAs w:val="dateTime"/>
            <w:calendar w:val="gregorian"/>
          </w:date>
        </w:sdtPr>
        <w:sdtContent>
          <w:r w:rsidR="00B828AA">
            <w:rPr>
              <w:rFonts w:cs="Arial"/>
              <w:b/>
              <w:color w:val="A6A6A6" w:themeColor="background1" w:themeShade="A6"/>
            </w:rPr>
            <w:t>28/05/2024</w:t>
          </w:r>
        </w:sdtContent>
      </w:sdt>
    </w:p>
    <w:p w14:paraId="17523A8C" w14:textId="77777777" w:rsidR="003B6CDD" w:rsidRPr="000506AC" w:rsidRDefault="003B6CDD" w:rsidP="003B6CDD">
      <w:pPr>
        <w:spacing w:after="40"/>
        <w:jc w:val="center"/>
        <w:rPr>
          <w:rFonts w:cs="Arial"/>
          <w:b/>
          <w:color w:val="A6A6A6" w:themeColor="background1" w:themeShade="A6"/>
        </w:rPr>
      </w:pPr>
      <w:r w:rsidRPr="000506AC">
        <w:rPr>
          <w:rFonts w:cs="Arial"/>
          <w:b/>
          <w:color w:val="66BBCA"/>
        </w:rPr>
        <w:t>Version: [</w:t>
      </w:r>
      <w:r w:rsidR="00007B9A">
        <w:rPr>
          <w:rFonts w:cs="Arial"/>
          <w:b/>
          <w:color w:val="66BBCA"/>
        </w:rPr>
        <w:t>1.</w:t>
      </w:r>
      <w:r w:rsidR="005536D2">
        <w:rPr>
          <w:rFonts w:cs="Arial"/>
          <w:b/>
          <w:color w:val="66BBCA"/>
        </w:rPr>
        <w:t>1</w:t>
      </w:r>
      <w:r w:rsidRPr="000506AC">
        <w:rPr>
          <w:rFonts w:cs="Arial"/>
          <w:b/>
          <w:color w:val="66BBCA"/>
        </w:rPr>
        <w:t xml:space="preserve">] |  </w:t>
      </w:r>
      <w:sdt>
        <w:sdtPr>
          <w:rPr>
            <w:rFonts w:cs="Arial"/>
            <w:b/>
            <w:color w:val="A6A6A6" w:themeColor="background1" w:themeShade="A6"/>
          </w:rPr>
          <w:id w:val="943890199"/>
          <w:placeholder>
            <w:docPart w:val="A632F3E4538A4F9AA56A08F533BBA63E"/>
          </w:placeholder>
          <w:date w:fullDate="2025-07-14T00:00:00Z">
            <w:dateFormat w:val="dd/MM/yyyy"/>
            <w:lid w:val="en-GB"/>
            <w:storeMappedDataAs w:val="dateTime"/>
            <w:calendar w:val="gregorian"/>
          </w:date>
        </w:sdtPr>
        <w:sdtContent>
          <w:r w:rsidR="005536D2">
            <w:rPr>
              <w:rFonts w:cs="Arial"/>
              <w:b/>
              <w:color w:val="A6A6A6" w:themeColor="background1" w:themeShade="A6"/>
            </w:rPr>
            <w:t>14/07/2025</w:t>
          </w:r>
        </w:sdtContent>
      </w:sdt>
    </w:p>
    <w:p w14:paraId="489CBB77" w14:textId="77777777" w:rsidR="003B6CDD" w:rsidRPr="000506AC" w:rsidRDefault="003B6CDD" w:rsidP="003B6CDD">
      <w:pPr>
        <w:jc w:val="center"/>
        <w:rPr>
          <w:rFonts w:cs="Arial"/>
        </w:rPr>
      </w:pPr>
    </w:p>
    <w:p w14:paraId="3FD09D52" w14:textId="77777777" w:rsidR="003B6CDD" w:rsidRPr="000506AC" w:rsidRDefault="003B6CDD" w:rsidP="003B6CDD">
      <w:pPr>
        <w:jc w:val="center"/>
        <w:rPr>
          <w:rFonts w:cs="Arial"/>
        </w:rPr>
      </w:pPr>
    </w:p>
    <w:p w14:paraId="41302B81" w14:textId="77777777" w:rsidR="003B6CDD" w:rsidRPr="000506AC" w:rsidRDefault="00000000" w:rsidP="003B6CDD">
      <w:pPr>
        <w:spacing w:after="40"/>
        <w:jc w:val="center"/>
        <w:rPr>
          <w:rFonts w:cs="Arial"/>
          <w:b/>
          <w:color w:val="66BBCA"/>
          <w:sz w:val="36"/>
          <w:szCs w:val="36"/>
        </w:rPr>
      </w:pPr>
      <w:hyperlink r:id="rId13" w:history="1">
        <w:r w:rsidR="003B6CDD" w:rsidRPr="000506AC">
          <w:rPr>
            <w:rStyle w:val="Hyperlink"/>
            <w:rFonts w:cs="Arial"/>
            <w:b/>
            <w:color w:val="66BBCA"/>
            <w:sz w:val="36"/>
            <w:szCs w:val="36"/>
          </w:rPr>
          <w:t>www.harmonitor.eu</w:t>
        </w:r>
      </w:hyperlink>
    </w:p>
    <w:p w14:paraId="7001D019" w14:textId="77777777" w:rsidR="003B6CDD" w:rsidRPr="000506AC" w:rsidRDefault="003B6CDD" w:rsidP="003B6CDD">
      <w:pPr>
        <w:spacing w:after="40"/>
        <w:jc w:val="center"/>
        <w:rPr>
          <w:rFonts w:cs="Arial"/>
          <w:b/>
          <w:color w:val="A6A6A6" w:themeColor="background1" w:themeShade="A6"/>
        </w:rPr>
      </w:pPr>
    </w:p>
    <w:p w14:paraId="10993FED" w14:textId="77777777" w:rsidR="003B6CDD" w:rsidRPr="000506AC" w:rsidRDefault="003B6CDD" w:rsidP="003B6CDD">
      <w:pPr>
        <w:spacing w:after="40"/>
        <w:jc w:val="both"/>
        <w:rPr>
          <w:rFonts w:cs="Arial"/>
          <w:b/>
          <w:color w:val="A6A6A6" w:themeColor="background1" w:themeShade="A6"/>
        </w:rPr>
      </w:pPr>
    </w:p>
    <w:p w14:paraId="62362FDA" w14:textId="77777777" w:rsidR="003B6CDD" w:rsidRPr="000506AC" w:rsidRDefault="003B6CDD" w:rsidP="003B6CDD">
      <w:pPr>
        <w:spacing w:after="40"/>
        <w:jc w:val="both"/>
        <w:rPr>
          <w:rFonts w:cs="Arial"/>
          <w:b/>
          <w:color w:val="A6A6A6" w:themeColor="background1" w:themeShade="A6"/>
        </w:rPr>
      </w:pPr>
      <w:r w:rsidRPr="000506AC">
        <w:rPr>
          <w:rFonts w:cs="Arial"/>
          <w:b/>
          <w:color w:val="A6A6A6" w:themeColor="background1" w:themeShade="A6"/>
        </w:rPr>
        <w:t>Funded by the European Union. Views and opinions expressed are however those of the author(s) only and do not necessarily reflect those of the European Union or the European Research Executive Agency (REA). Neither the European Union nor the granting authority can be held responsible for them</w:t>
      </w:r>
    </w:p>
    <w:p w14:paraId="53D6A658" w14:textId="77777777" w:rsidR="003B6CDD" w:rsidRPr="000506AC" w:rsidRDefault="003B6CDD" w:rsidP="003B6CDD">
      <w:pPr>
        <w:pStyle w:val="BodyText"/>
        <w:rPr>
          <w:rFonts w:ascii="Arial" w:hAnsi="Arial"/>
          <w:sz w:val="22"/>
        </w:rPr>
      </w:pPr>
    </w:p>
    <w:p w14:paraId="6CB86A3D" w14:textId="77777777" w:rsidR="003B6CDD" w:rsidRPr="000506AC" w:rsidRDefault="00013BEB" w:rsidP="003B6CDD">
      <w:pPr>
        <w:pStyle w:val="BodyText"/>
        <w:rPr>
          <w:rFonts w:ascii="Arial" w:hAnsi="Arial"/>
          <w:sz w:val="22"/>
        </w:rPr>
      </w:pPr>
      <w:r>
        <w:rPr>
          <w:noProof/>
        </w:rPr>
        <w:drawing>
          <wp:anchor distT="0" distB="0" distL="114300" distR="114300" simplePos="0" relativeHeight="251658242" behindDoc="0" locked="0" layoutInCell="1" allowOverlap="1" wp14:anchorId="7F9DF1BF" wp14:editId="5BA4D4E3">
            <wp:simplePos x="0" y="0"/>
            <wp:positionH relativeFrom="margin">
              <wp:align>center</wp:align>
            </wp:positionH>
            <wp:positionV relativeFrom="paragraph">
              <wp:posOffset>5715</wp:posOffset>
            </wp:positionV>
            <wp:extent cx="2840355" cy="59436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40355" cy="5943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9D0920E" w14:textId="77777777" w:rsidR="000278B2" w:rsidRPr="000D7ACC" w:rsidRDefault="00AF41EB" w:rsidP="000956E5">
      <w:pPr>
        <w:rPr>
          <w:rFonts w:cs="Arial"/>
          <w:b/>
          <w:bCs/>
          <w:color w:val="66BBCA"/>
          <w:sz w:val="40"/>
          <w:szCs w:val="40"/>
        </w:rPr>
      </w:pPr>
      <w:r w:rsidRPr="000506AC">
        <w:rPr>
          <w:rFonts w:cs="Arial"/>
        </w:rPr>
        <w:br w:type="page"/>
      </w:r>
      <w:r w:rsidR="00DC2AA1" w:rsidRPr="000506AC">
        <w:rPr>
          <w:rFonts w:cs="Arial"/>
          <w:b/>
          <w:bCs/>
          <w:color w:val="66BBCA"/>
          <w:sz w:val="40"/>
          <w:szCs w:val="40"/>
        </w:rPr>
        <w:t>REPORT</w:t>
      </w:r>
    </w:p>
    <w:p w14:paraId="51801281" w14:textId="77777777" w:rsidR="00057BA9" w:rsidRPr="000506AC" w:rsidRDefault="00057BA9" w:rsidP="000956E5">
      <w:pPr>
        <w:rPr>
          <w:rFonts w:cs="Arial"/>
          <w:b/>
          <w:bCs/>
          <w:color w:val="66BBCA"/>
        </w:rPr>
      </w:pPr>
    </w:p>
    <w:tbl>
      <w:tblPr>
        <w:tblW w:w="5000" w:type="pct"/>
        <w:tblLook w:val="05E0" w:firstRow="1" w:lastRow="1" w:firstColumn="1" w:lastColumn="1" w:noHBand="0" w:noVBand="1"/>
      </w:tblPr>
      <w:tblGrid>
        <w:gridCol w:w="3114"/>
        <w:gridCol w:w="5902"/>
      </w:tblGrid>
      <w:tr w:rsidR="00534CA1" w:rsidRPr="000506AC" w14:paraId="22BDF885" w14:textId="77777777" w:rsidTr="005647BF">
        <w:trPr>
          <w:trHeight w:val="397"/>
        </w:trPr>
        <w:tc>
          <w:tcPr>
            <w:tcW w:w="1727" w:type="pct"/>
            <w:tcBorders>
              <w:left w:val="single" w:sz="4" w:space="0" w:color="FFFFFF" w:themeColor="background1"/>
              <w:bottom w:val="single" w:sz="4" w:space="0" w:color="FFFFFF" w:themeColor="background1"/>
              <w:right w:val="single" w:sz="4" w:space="0" w:color="FFFFFF" w:themeColor="background1"/>
            </w:tcBorders>
            <w:shd w:val="clear" w:color="auto" w:fill="66BBCA"/>
          </w:tcPr>
          <w:p w14:paraId="3952BC99" w14:textId="77777777" w:rsidR="00534CA1" w:rsidRPr="000506AC" w:rsidRDefault="00534CA1" w:rsidP="005647BF">
            <w:pPr>
              <w:rPr>
                <w:rFonts w:cs="Arial"/>
                <w:b/>
                <w:bCs/>
                <w:color w:val="FFFFFF" w:themeColor="background1"/>
              </w:rPr>
            </w:pPr>
            <w:r w:rsidRPr="000506AC">
              <w:rPr>
                <w:rFonts w:cs="Arial"/>
                <w:b/>
                <w:bCs/>
                <w:color w:val="FFFFFF" w:themeColor="background1"/>
              </w:rPr>
              <w:t>Lead Beneficiary</w:t>
            </w:r>
          </w:p>
        </w:tc>
        <w:tc>
          <w:tcPr>
            <w:tcW w:w="3273" w:type="pct"/>
            <w:tcBorders>
              <w:top w:val="single" w:sz="4" w:space="0" w:color="66BBCA"/>
              <w:left w:val="single" w:sz="4" w:space="0" w:color="FFFFFF" w:themeColor="background1"/>
              <w:bottom w:val="single" w:sz="4" w:space="0" w:color="66BBCA"/>
              <w:right w:val="single" w:sz="4" w:space="0" w:color="66BBCA"/>
            </w:tcBorders>
          </w:tcPr>
          <w:p w14:paraId="361A1C57" w14:textId="77777777" w:rsidR="00534CA1" w:rsidRPr="000506AC" w:rsidRDefault="006956E5" w:rsidP="005647BF">
            <w:pPr>
              <w:rPr>
                <w:rFonts w:cs="Arial"/>
                <w:color w:val="7F7F7F"/>
              </w:rPr>
            </w:pPr>
            <w:r>
              <w:rPr>
                <w:rFonts w:cs="Arial"/>
                <w:color w:val="7F7F7F"/>
              </w:rPr>
              <w:t>RU</w:t>
            </w:r>
          </w:p>
        </w:tc>
      </w:tr>
      <w:tr w:rsidR="00534CA1" w:rsidRPr="006956E5" w14:paraId="232FC4A9" w14:textId="77777777" w:rsidTr="005647BF">
        <w:trPr>
          <w:trHeight w:val="680"/>
        </w:trPr>
        <w:tc>
          <w:tcPr>
            <w:tcW w:w="172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6CF3C1A8" w14:textId="77777777" w:rsidR="00534CA1" w:rsidRPr="000506AC" w:rsidRDefault="00534CA1" w:rsidP="005647BF">
            <w:pPr>
              <w:rPr>
                <w:rFonts w:cs="Arial"/>
                <w:b/>
                <w:bCs/>
                <w:color w:val="FFFFFF" w:themeColor="background1"/>
              </w:rPr>
            </w:pPr>
            <w:r w:rsidRPr="000506AC">
              <w:rPr>
                <w:rFonts w:cs="Arial"/>
                <w:b/>
                <w:bCs/>
                <w:color w:val="FFFFFF" w:themeColor="background1"/>
              </w:rPr>
              <w:t>Authors (Organisation)</w:t>
            </w:r>
          </w:p>
        </w:tc>
        <w:tc>
          <w:tcPr>
            <w:tcW w:w="3273" w:type="pct"/>
            <w:tcBorders>
              <w:top w:val="single" w:sz="4" w:space="0" w:color="66BBCA"/>
              <w:left w:val="single" w:sz="4" w:space="0" w:color="FFFFFF" w:themeColor="background1"/>
              <w:bottom w:val="single" w:sz="4" w:space="0" w:color="66BBCA"/>
              <w:right w:val="single" w:sz="4" w:space="0" w:color="66BBCA"/>
            </w:tcBorders>
          </w:tcPr>
          <w:p w14:paraId="5E5944D6" w14:textId="77777777" w:rsidR="00534CA1" w:rsidRPr="00D46A22" w:rsidRDefault="006956E5" w:rsidP="005647BF">
            <w:pPr>
              <w:rPr>
                <w:rFonts w:cs="Arial"/>
                <w:color w:val="7F7F7F"/>
                <w:lang w:val="it-IT"/>
              </w:rPr>
            </w:pPr>
            <w:r w:rsidRPr="00D46A22">
              <w:rPr>
                <w:rFonts w:cs="Arial"/>
                <w:color w:val="7F7F7F"/>
                <w:lang w:val="it-IT"/>
              </w:rPr>
              <w:t>Birka Wicke</w:t>
            </w:r>
            <w:r w:rsidR="00534CA1" w:rsidRPr="00D46A22">
              <w:rPr>
                <w:rFonts w:cs="Arial"/>
                <w:color w:val="7F7F7F"/>
                <w:lang w:val="it-IT"/>
              </w:rPr>
              <w:t xml:space="preserve"> (</w:t>
            </w:r>
            <w:r w:rsidRPr="00D46A22">
              <w:rPr>
                <w:rFonts w:cs="Arial"/>
                <w:color w:val="7F7F7F"/>
                <w:lang w:val="it-IT"/>
              </w:rPr>
              <w:t>RU</w:t>
            </w:r>
            <w:r w:rsidR="00534CA1" w:rsidRPr="00D46A22">
              <w:rPr>
                <w:rFonts w:cs="Arial"/>
                <w:color w:val="7F7F7F"/>
                <w:lang w:val="it-IT"/>
              </w:rPr>
              <w:t>)</w:t>
            </w:r>
          </w:p>
          <w:p w14:paraId="21B2BADB" w14:textId="77777777" w:rsidR="006956E5" w:rsidRPr="00D46A22" w:rsidRDefault="006956E5" w:rsidP="005647BF">
            <w:pPr>
              <w:rPr>
                <w:rFonts w:cs="Arial"/>
                <w:color w:val="7F7F7F"/>
                <w:lang w:val="it-IT"/>
              </w:rPr>
            </w:pPr>
            <w:r w:rsidRPr="00D46A22">
              <w:rPr>
                <w:rFonts w:cs="Arial"/>
                <w:color w:val="7F7F7F"/>
                <w:lang w:val="it-IT"/>
              </w:rPr>
              <w:t>Costanza Rossil (SQ Consult)</w:t>
            </w:r>
          </w:p>
          <w:p w14:paraId="60B739B9" w14:textId="77777777" w:rsidR="006956E5" w:rsidRPr="009F7AC8" w:rsidRDefault="006956E5" w:rsidP="005647BF">
            <w:pPr>
              <w:rPr>
                <w:rFonts w:cs="Arial"/>
                <w:color w:val="7F7F7F"/>
                <w:lang w:val="en-US"/>
              </w:rPr>
            </w:pPr>
            <w:r w:rsidRPr="009F7AC8">
              <w:rPr>
                <w:rFonts w:cs="Arial"/>
                <w:color w:val="7F7F7F"/>
                <w:lang w:val="en-US"/>
              </w:rPr>
              <w:t xml:space="preserve">Simon </w:t>
            </w:r>
            <w:proofErr w:type="spellStart"/>
            <w:r w:rsidRPr="009F7AC8">
              <w:rPr>
                <w:rFonts w:cs="Arial"/>
                <w:color w:val="7F7F7F"/>
                <w:lang w:val="en-US"/>
              </w:rPr>
              <w:t>Windfeld</w:t>
            </w:r>
            <w:proofErr w:type="spellEnd"/>
            <w:r w:rsidRPr="009F7AC8">
              <w:rPr>
                <w:rFonts w:cs="Arial"/>
                <w:color w:val="7F7F7F"/>
                <w:lang w:val="en-US"/>
              </w:rPr>
              <w:t xml:space="preserve"> </w:t>
            </w:r>
            <w:proofErr w:type="spellStart"/>
            <w:r w:rsidRPr="009F7AC8">
              <w:rPr>
                <w:rFonts w:cs="Arial"/>
                <w:color w:val="7F7F7F"/>
                <w:lang w:val="en-US"/>
              </w:rPr>
              <w:t>Møller</w:t>
            </w:r>
            <w:proofErr w:type="spellEnd"/>
            <w:r w:rsidRPr="009F7AC8">
              <w:rPr>
                <w:rFonts w:cs="Arial"/>
                <w:color w:val="7F7F7F"/>
                <w:lang w:val="en-US"/>
              </w:rPr>
              <w:t xml:space="preserve"> (</w:t>
            </w:r>
            <w:proofErr w:type="spellStart"/>
            <w:r w:rsidRPr="009F7AC8">
              <w:rPr>
                <w:rFonts w:cs="Arial"/>
                <w:color w:val="7F7F7F"/>
                <w:lang w:val="en-US"/>
              </w:rPr>
              <w:t>PbN</w:t>
            </w:r>
            <w:proofErr w:type="spellEnd"/>
            <w:r w:rsidRPr="009F7AC8">
              <w:rPr>
                <w:rFonts w:cs="Arial"/>
                <w:color w:val="7F7F7F"/>
                <w:lang w:val="en-US"/>
              </w:rPr>
              <w:t>)</w:t>
            </w:r>
          </w:p>
          <w:p w14:paraId="702E6A10" w14:textId="77777777" w:rsidR="00534CA1" w:rsidRPr="009F7AC8" w:rsidRDefault="006956E5" w:rsidP="005647BF">
            <w:pPr>
              <w:rPr>
                <w:rFonts w:cs="Arial"/>
                <w:color w:val="7F7F7F"/>
                <w:lang w:val="en-US"/>
              </w:rPr>
            </w:pPr>
            <w:r w:rsidRPr="009F7AC8">
              <w:rPr>
                <w:rFonts w:cs="Arial"/>
                <w:color w:val="7F7F7F"/>
                <w:lang w:val="en-US"/>
              </w:rPr>
              <w:t>Matthias Grill (AGRO)</w:t>
            </w:r>
          </w:p>
          <w:p w14:paraId="3FA7CB51" w14:textId="77777777" w:rsidR="006956E5" w:rsidRPr="006956E5" w:rsidRDefault="006956E5" w:rsidP="005647BF">
            <w:pPr>
              <w:rPr>
                <w:rFonts w:cs="Arial"/>
                <w:color w:val="7F7F7F"/>
                <w:lang w:val="de-AT"/>
              </w:rPr>
            </w:pPr>
            <w:r>
              <w:rPr>
                <w:rFonts w:cs="Arial"/>
                <w:color w:val="7F7F7F"/>
                <w:lang w:val="de-AT"/>
              </w:rPr>
              <w:t>Stefano Lauro (RINA)</w:t>
            </w:r>
          </w:p>
        </w:tc>
      </w:tr>
      <w:tr w:rsidR="00534CA1" w:rsidRPr="000506AC" w14:paraId="1EA01FB7" w14:textId="77777777" w:rsidTr="005647BF">
        <w:trPr>
          <w:trHeight w:val="378"/>
        </w:trPr>
        <w:tc>
          <w:tcPr>
            <w:tcW w:w="172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7A983FE3" w14:textId="77777777" w:rsidR="00534CA1" w:rsidRPr="000506AC" w:rsidRDefault="00534CA1" w:rsidP="005647BF">
            <w:pPr>
              <w:rPr>
                <w:rFonts w:cs="Arial"/>
                <w:b/>
                <w:bCs/>
                <w:color w:val="FFFFFF" w:themeColor="background1"/>
              </w:rPr>
            </w:pPr>
            <w:r w:rsidRPr="000506AC">
              <w:rPr>
                <w:rFonts w:cs="Arial"/>
                <w:b/>
                <w:bCs/>
                <w:color w:val="FFFFFF" w:themeColor="background1"/>
              </w:rPr>
              <w:t>Responsible Author</w:t>
            </w:r>
          </w:p>
        </w:tc>
        <w:tc>
          <w:tcPr>
            <w:tcW w:w="3273" w:type="pct"/>
            <w:tcBorders>
              <w:top w:val="single" w:sz="4" w:space="0" w:color="66BBCA"/>
              <w:left w:val="single" w:sz="4" w:space="0" w:color="FFFFFF" w:themeColor="background1"/>
              <w:bottom w:val="single" w:sz="4" w:space="0" w:color="66BBCA"/>
              <w:right w:val="single" w:sz="4" w:space="0" w:color="66BBCA"/>
            </w:tcBorders>
          </w:tcPr>
          <w:p w14:paraId="3DD7E605" w14:textId="77777777" w:rsidR="00534CA1" w:rsidRPr="000506AC" w:rsidRDefault="006956E5" w:rsidP="005647BF">
            <w:pPr>
              <w:rPr>
                <w:rFonts w:cs="Arial"/>
                <w:color w:val="7F7F7F"/>
              </w:rPr>
            </w:pPr>
            <w:r>
              <w:rPr>
                <w:rFonts w:cs="Arial"/>
                <w:color w:val="7F7F7F"/>
              </w:rPr>
              <w:t>Birka Wicke</w:t>
            </w:r>
          </w:p>
        </w:tc>
      </w:tr>
      <w:tr w:rsidR="00534CA1" w:rsidRPr="000506AC" w14:paraId="40280C77" w14:textId="77777777" w:rsidTr="005647BF">
        <w:trPr>
          <w:trHeight w:val="397"/>
        </w:trPr>
        <w:tc>
          <w:tcPr>
            <w:tcW w:w="172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7FED7768" w14:textId="77777777" w:rsidR="00534CA1" w:rsidRPr="000506AC" w:rsidRDefault="00534CA1" w:rsidP="005647BF">
            <w:pPr>
              <w:rPr>
                <w:rFonts w:cs="Arial"/>
                <w:b/>
                <w:bCs/>
                <w:color w:val="FFFFFF" w:themeColor="background1"/>
              </w:rPr>
            </w:pPr>
            <w:r w:rsidRPr="000506AC">
              <w:rPr>
                <w:rFonts w:cs="Arial"/>
                <w:b/>
                <w:bCs/>
                <w:color w:val="FFFFFF" w:themeColor="background1"/>
              </w:rPr>
              <w:t>Deliverable Type</w:t>
            </w:r>
          </w:p>
        </w:tc>
        <w:tc>
          <w:tcPr>
            <w:tcW w:w="3273" w:type="pct"/>
            <w:tcBorders>
              <w:top w:val="single" w:sz="4" w:space="0" w:color="66BBCA"/>
              <w:left w:val="single" w:sz="4" w:space="0" w:color="FFFFFF" w:themeColor="background1"/>
              <w:bottom w:val="single" w:sz="4" w:space="0" w:color="66BBCA"/>
              <w:right w:val="single" w:sz="4" w:space="0" w:color="66BBCA"/>
            </w:tcBorders>
          </w:tcPr>
          <w:p w14:paraId="540ADF5E" w14:textId="77777777" w:rsidR="00534CA1" w:rsidRPr="000506AC" w:rsidRDefault="00534CA1" w:rsidP="005647BF">
            <w:pPr>
              <w:rPr>
                <w:rFonts w:cs="Arial"/>
                <w:color w:val="7F7F7F"/>
              </w:rPr>
            </w:pPr>
            <w:r w:rsidRPr="000506AC">
              <w:rPr>
                <w:rFonts w:cs="Arial"/>
                <w:color w:val="7F7F7F"/>
              </w:rPr>
              <w:t>Other</w:t>
            </w:r>
          </w:p>
        </w:tc>
      </w:tr>
      <w:tr w:rsidR="00C732D5" w:rsidRPr="000506AC" w14:paraId="50AC277B" w14:textId="77777777" w:rsidTr="005647BF">
        <w:trPr>
          <w:trHeight w:val="397"/>
        </w:trPr>
        <w:tc>
          <w:tcPr>
            <w:tcW w:w="1727" w:type="pct"/>
            <w:tcBorders>
              <w:top w:val="single" w:sz="4" w:space="0" w:color="FFFFFF" w:themeColor="background1"/>
              <w:left w:val="single" w:sz="4" w:space="0" w:color="FFFFFF" w:themeColor="background1"/>
              <w:right w:val="single" w:sz="4" w:space="0" w:color="FFFFFF" w:themeColor="background1"/>
            </w:tcBorders>
            <w:shd w:val="clear" w:color="auto" w:fill="66BBCA"/>
          </w:tcPr>
          <w:p w14:paraId="5B72F99C" w14:textId="77777777" w:rsidR="00534CA1" w:rsidRPr="000506AC" w:rsidRDefault="00534CA1" w:rsidP="005647BF">
            <w:pPr>
              <w:rPr>
                <w:rFonts w:cs="Arial"/>
                <w:b/>
                <w:bCs/>
                <w:color w:val="FFFFFF" w:themeColor="background1"/>
              </w:rPr>
            </w:pPr>
            <w:r w:rsidRPr="000506AC">
              <w:rPr>
                <w:rFonts w:cs="Arial"/>
                <w:b/>
                <w:bCs/>
                <w:color w:val="FFFFFF" w:themeColor="background1"/>
              </w:rPr>
              <w:t>Dissemination Level</w:t>
            </w:r>
          </w:p>
        </w:tc>
        <w:tc>
          <w:tcPr>
            <w:tcW w:w="3273" w:type="pct"/>
            <w:tcBorders>
              <w:top w:val="single" w:sz="4" w:space="0" w:color="66BBCA"/>
              <w:left w:val="single" w:sz="4" w:space="0" w:color="FFFFFF" w:themeColor="background1"/>
              <w:bottom w:val="single" w:sz="4" w:space="0" w:color="66BBCA"/>
              <w:right w:val="single" w:sz="4" w:space="0" w:color="66BBCA"/>
            </w:tcBorders>
          </w:tcPr>
          <w:p w14:paraId="64DEC158" w14:textId="77777777" w:rsidR="00534CA1" w:rsidRPr="000506AC" w:rsidRDefault="006956E5" w:rsidP="005647BF">
            <w:pPr>
              <w:rPr>
                <w:rFonts w:cs="Arial"/>
                <w:color w:val="7F7F7F"/>
              </w:rPr>
            </w:pPr>
            <w:r>
              <w:rPr>
                <w:rFonts w:cs="Arial"/>
                <w:color w:val="7F7F7F"/>
              </w:rPr>
              <w:t>Public</w:t>
            </w:r>
          </w:p>
        </w:tc>
      </w:tr>
    </w:tbl>
    <w:p w14:paraId="777383B4" w14:textId="77777777" w:rsidR="00DC2AA1" w:rsidRPr="000506AC" w:rsidRDefault="00DC2AA1" w:rsidP="000956E5">
      <w:pPr>
        <w:rPr>
          <w:rFonts w:cs="Arial"/>
          <w:b/>
          <w:bCs/>
          <w:color w:val="66BBCA"/>
        </w:rPr>
      </w:pPr>
    </w:p>
    <w:p w14:paraId="2590916B" w14:textId="77777777" w:rsidR="00DC2AA1" w:rsidRPr="000506AC" w:rsidRDefault="00DC2AA1" w:rsidP="00DC2AA1">
      <w:pPr>
        <w:pStyle w:val="BodyText"/>
        <w:rPr>
          <w:rFonts w:ascii="Arial" w:hAnsi="Arial"/>
          <w:b/>
          <w:color w:val="66BBCA"/>
          <w:sz w:val="22"/>
        </w:rPr>
      </w:pPr>
    </w:p>
    <w:p w14:paraId="3627879E" w14:textId="77777777" w:rsidR="00DC2AA1" w:rsidRPr="00791715" w:rsidRDefault="00DC2AA1" w:rsidP="00DC2AA1">
      <w:pPr>
        <w:pStyle w:val="BodyText"/>
        <w:rPr>
          <w:rFonts w:ascii="Arial" w:hAnsi="Arial"/>
          <w:b/>
          <w:color w:val="66BBCA"/>
          <w:sz w:val="22"/>
          <w:lang w:val="en-US"/>
        </w:rPr>
      </w:pPr>
    </w:p>
    <w:p w14:paraId="258A98C2" w14:textId="77777777" w:rsidR="00DC2AA1" w:rsidRPr="000506AC" w:rsidRDefault="00DC2AA1" w:rsidP="00DC2AA1">
      <w:pPr>
        <w:pStyle w:val="BodyText"/>
        <w:rPr>
          <w:rFonts w:ascii="Arial" w:hAnsi="Arial"/>
          <w:b/>
          <w:color w:val="66BBCA"/>
          <w:sz w:val="22"/>
        </w:rPr>
      </w:pPr>
    </w:p>
    <w:p w14:paraId="51131494" w14:textId="77777777" w:rsidR="00DC2AA1" w:rsidRPr="000506AC" w:rsidRDefault="00DC2AA1" w:rsidP="00DC2AA1">
      <w:pPr>
        <w:pStyle w:val="BodyText"/>
        <w:rPr>
          <w:rFonts w:ascii="Arial" w:hAnsi="Arial"/>
          <w:b/>
          <w:color w:val="66BBCA"/>
          <w:sz w:val="22"/>
        </w:rPr>
      </w:pPr>
    </w:p>
    <w:p w14:paraId="64096441" w14:textId="77777777" w:rsidR="00DC2AA1" w:rsidRPr="000506AC" w:rsidRDefault="00DC2AA1" w:rsidP="00DC2AA1">
      <w:pPr>
        <w:pStyle w:val="BodyText"/>
        <w:rPr>
          <w:rFonts w:ascii="Arial" w:hAnsi="Arial"/>
          <w:b/>
          <w:color w:val="66BBCA"/>
          <w:sz w:val="40"/>
          <w:szCs w:val="40"/>
        </w:rPr>
      </w:pPr>
      <w:r w:rsidRPr="000506AC">
        <w:rPr>
          <w:rFonts w:ascii="Arial" w:hAnsi="Arial"/>
          <w:b/>
          <w:color w:val="66BBCA"/>
          <w:sz w:val="40"/>
          <w:szCs w:val="40"/>
        </w:rPr>
        <w:t>DOCUMENT HISTORY</w:t>
      </w:r>
    </w:p>
    <w:p w14:paraId="5758006E" w14:textId="77777777" w:rsidR="00057BA9" w:rsidRPr="000506AC" w:rsidRDefault="00057BA9" w:rsidP="00DC2AA1">
      <w:pPr>
        <w:pStyle w:val="BodyText"/>
        <w:rPr>
          <w:rFonts w:ascii="Arial" w:hAnsi="Arial"/>
          <w:b/>
          <w:color w:val="66BBCA"/>
          <w:sz w:val="22"/>
        </w:rPr>
      </w:pPr>
    </w:p>
    <w:tbl>
      <w:tblPr>
        <w:tblW w:w="2437" w:type="pct"/>
        <w:tblInd w:w="-5" w:type="dxa"/>
        <w:tblBorders>
          <w:top w:val="single" w:sz="4" w:space="0" w:color="66BBCA"/>
          <w:left w:val="single" w:sz="4" w:space="0" w:color="66BBCA"/>
          <w:bottom w:val="single" w:sz="4" w:space="0" w:color="66BBCA"/>
          <w:right w:val="single" w:sz="4" w:space="0" w:color="66BBCA"/>
          <w:insideH w:val="single" w:sz="4" w:space="0" w:color="66BBCA"/>
          <w:insideV w:val="single" w:sz="4" w:space="0" w:color="66BBCA"/>
        </w:tblBorders>
        <w:tblLook w:val="05E0" w:firstRow="1" w:lastRow="1" w:firstColumn="1" w:lastColumn="1" w:noHBand="0" w:noVBand="1"/>
      </w:tblPr>
      <w:tblGrid>
        <w:gridCol w:w="1788"/>
        <w:gridCol w:w="2606"/>
      </w:tblGrid>
      <w:tr w:rsidR="005647BF" w:rsidRPr="000506AC" w14:paraId="56EB2DA4" w14:textId="77777777" w:rsidTr="00057BA9">
        <w:trPr>
          <w:trHeight w:val="397"/>
        </w:trPr>
        <w:tc>
          <w:tcPr>
            <w:tcW w:w="2035" w:type="pct"/>
            <w:tcBorders>
              <w:top w:val="nil"/>
              <w:left w:val="single" w:sz="4" w:space="0" w:color="FFFFFF" w:themeColor="background1"/>
              <w:bottom w:val="single" w:sz="4" w:space="0" w:color="FFFFFF" w:themeColor="background1"/>
              <w:right w:val="single" w:sz="4" w:space="0" w:color="FFFFFF" w:themeColor="background1"/>
            </w:tcBorders>
            <w:shd w:val="clear" w:color="auto" w:fill="66BBCA"/>
          </w:tcPr>
          <w:p w14:paraId="66156E99" w14:textId="77777777" w:rsidR="005647BF" w:rsidRPr="000506AC" w:rsidRDefault="005647BF" w:rsidP="00116229">
            <w:pPr>
              <w:contextualSpacing/>
              <w:rPr>
                <w:rFonts w:cs="Arial"/>
                <w:b/>
                <w:color w:val="FFFFFF" w:themeColor="background1"/>
              </w:rPr>
            </w:pPr>
            <w:r w:rsidRPr="000506AC">
              <w:rPr>
                <w:rFonts w:cs="Arial"/>
                <w:b/>
                <w:color w:val="FFFFFF" w:themeColor="background1"/>
              </w:rPr>
              <w:t>Version</w:t>
            </w:r>
          </w:p>
        </w:tc>
        <w:tc>
          <w:tcPr>
            <w:tcW w:w="2965" w:type="pct"/>
            <w:tcBorders>
              <w:top w:val="single" w:sz="4" w:space="0" w:color="66BBCA"/>
              <w:left w:val="single" w:sz="4" w:space="0" w:color="FFFFFF" w:themeColor="background1"/>
              <w:bottom w:val="single" w:sz="4" w:space="0" w:color="FFFFFF"/>
              <w:right w:val="single" w:sz="4" w:space="0" w:color="66BBCA"/>
            </w:tcBorders>
            <w:shd w:val="clear" w:color="auto" w:fill="66BBCA"/>
          </w:tcPr>
          <w:p w14:paraId="5F40E056" w14:textId="77777777" w:rsidR="005647BF" w:rsidRPr="000506AC" w:rsidRDefault="005647BF" w:rsidP="00116229">
            <w:pPr>
              <w:contextualSpacing/>
              <w:rPr>
                <w:rFonts w:cs="Arial"/>
                <w:b/>
                <w:color w:val="FFFFFF" w:themeColor="background1"/>
              </w:rPr>
            </w:pPr>
            <w:r w:rsidRPr="000506AC">
              <w:rPr>
                <w:rFonts w:cs="Arial"/>
                <w:b/>
                <w:color w:val="FFFFFF" w:themeColor="background1"/>
              </w:rPr>
              <w:t>Description</w:t>
            </w:r>
          </w:p>
        </w:tc>
      </w:tr>
      <w:tr w:rsidR="005647BF" w:rsidRPr="000506AC" w14:paraId="04AD71D3" w14:textId="77777777" w:rsidTr="00057BA9">
        <w:trPr>
          <w:trHeight w:val="397"/>
        </w:trPr>
        <w:tc>
          <w:tcPr>
            <w:tcW w:w="20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1742C3B9" w14:textId="77777777" w:rsidR="005647BF" w:rsidRPr="000506AC" w:rsidRDefault="005647BF" w:rsidP="00116229">
            <w:pPr>
              <w:contextualSpacing/>
              <w:rPr>
                <w:rFonts w:cs="Arial"/>
                <w:b/>
                <w:color w:val="FFFFFF" w:themeColor="background1"/>
              </w:rPr>
            </w:pPr>
            <w:r w:rsidRPr="000506AC">
              <w:rPr>
                <w:rFonts w:cs="Arial"/>
                <w:b/>
                <w:color w:val="FFFFFF" w:themeColor="background1"/>
              </w:rPr>
              <w:t>0.1</w:t>
            </w:r>
          </w:p>
        </w:tc>
        <w:tc>
          <w:tcPr>
            <w:tcW w:w="2965" w:type="pct"/>
            <w:tcBorders>
              <w:top w:val="single" w:sz="4" w:space="0" w:color="FFFFFF"/>
              <w:left w:val="single" w:sz="4" w:space="0" w:color="FFFFFF" w:themeColor="background1"/>
              <w:bottom w:val="single" w:sz="4" w:space="0" w:color="66BBCA"/>
              <w:right w:val="single" w:sz="4" w:space="0" w:color="66BBCA"/>
            </w:tcBorders>
            <w:shd w:val="clear" w:color="auto" w:fill="FFFFFF" w:themeFill="background1"/>
          </w:tcPr>
          <w:p w14:paraId="775B4D32" w14:textId="77777777" w:rsidR="005647BF" w:rsidRPr="000506AC" w:rsidRDefault="005647BF" w:rsidP="00116229">
            <w:pPr>
              <w:contextualSpacing/>
              <w:rPr>
                <w:rFonts w:cs="Arial"/>
                <w:bCs/>
                <w:color w:val="7F7F7F"/>
              </w:rPr>
            </w:pPr>
            <w:r w:rsidRPr="000506AC">
              <w:rPr>
                <w:rFonts w:cs="Arial"/>
                <w:bCs/>
                <w:color w:val="7F7F7F"/>
              </w:rPr>
              <w:t xml:space="preserve">First </w:t>
            </w:r>
            <w:r w:rsidR="00057BA9" w:rsidRPr="000506AC">
              <w:rPr>
                <w:rFonts w:cs="Arial"/>
                <w:bCs/>
                <w:color w:val="7F7F7F"/>
              </w:rPr>
              <w:t>Internal Draft</w:t>
            </w:r>
          </w:p>
        </w:tc>
      </w:tr>
      <w:tr w:rsidR="005647BF" w:rsidRPr="000506AC" w14:paraId="37833B53" w14:textId="77777777" w:rsidTr="00057BA9">
        <w:trPr>
          <w:trHeight w:val="397"/>
        </w:trPr>
        <w:tc>
          <w:tcPr>
            <w:tcW w:w="20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0CF46C78" w14:textId="77777777" w:rsidR="005647BF" w:rsidRPr="000506AC" w:rsidRDefault="005647BF" w:rsidP="00116229">
            <w:pPr>
              <w:contextualSpacing/>
              <w:rPr>
                <w:rFonts w:cs="Arial"/>
                <w:b/>
                <w:color w:val="FFFFFF" w:themeColor="background1"/>
              </w:rPr>
            </w:pPr>
            <w:r w:rsidRPr="000506AC">
              <w:rPr>
                <w:rFonts w:cs="Arial"/>
                <w:b/>
                <w:color w:val="FFFFFF" w:themeColor="background1"/>
              </w:rPr>
              <w:t>0.2</w:t>
            </w:r>
          </w:p>
        </w:tc>
        <w:tc>
          <w:tcPr>
            <w:tcW w:w="2965" w:type="pct"/>
            <w:tcBorders>
              <w:top w:val="single" w:sz="4" w:space="0" w:color="66BBCA"/>
              <w:left w:val="single" w:sz="4" w:space="0" w:color="FFFFFF" w:themeColor="background1"/>
              <w:bottom w:val="single" w:sz="4" w:space="0" w:color="66BBCA"/>
              <w:right w:val="single" w:sz="4" w:space="0" w:color="66BBCA"/>
            </w:tcBorders>
            <w:shd w:val="clear" w:color="auto" w:fill="FFFFFF" w:themeFill="background1"/>
          </w:tcPr>
          <w:p w14:paraId="17F1EFA5" w14:textId="77777777" w:rsidR="005647BF" w:rsidRPr="000506AC" w:rsidRDefault="00057BA9" w:rsidP="00116229">
            <w:pPr>
              <w:contextualSpacing/>
              <w:rPr>
                <w:rFonts w:cs="Arial"/>
                <w:bCs/>
                <w:color w:val="7F7F7F"/>
              </w:rPr>
            </w:pPr>
            <w:r w:rsidRPr="000506AC">
              <w:rPr>
                <w:rFonts w:cs="Arial"/>
                <w:bCs/>
                <w:color w:val="7F7F7F"/>
              </w:rPr>
              <w:t>Second Internal draft</w:t>
            </w:r>
          </w:p>
        </w:tc>
      </w:tr>
      <w:tr w:rsidR="005647BF" w:rsidRPr="000506AC" w14:paraId="31FCC7E7" w14:textId="77777777" w:rsidTr="00057BA9">
        <w:trPr>
          <w:trHeight w:val="397"/>
        </w:trPr>
        <w:tc>
          <w:tcPr>
            <w:tcW w:w="20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4087A356" w14:textId="77777777" w:rsidR="005647BF" w:rsidRPr="000506AC" w:rsidRDefault="005647BF" w:rsidP="00116229">
            <w:pPr>
              <w:contextualSpacing/>
              <w:rPr>
                <w:rFonts w:cs="Arial"/>
                <w:b/>
                <w:color w:val="FFFFFF" w:themeColor="background1"/>
              </w:rPr>
            </w:pPr>
            <w:r w:rsidRPr="000506AC">
              <w:rPr>
                <w:rFonts w:cs="Arial"/>
                <w:b/>
                <w:color w:val="FFFFFF" w:themeColor="background1"/>
              </w:rPr>
              <w:t>0.3</w:t>
            </w:r>
          </w:p>
        </w:tc>
        <w:tc>
          <w:tcPr>
            <w:tcW w:w="2965" w:type="pct"/>
            <w:tcBorders>
              <w:top w:val="single" w:sz="4" w:space="0" w:color="66BBCA"/>
              <w:left w:val="single" w:sz="4" w:space="0" w:color="FFFFFF" w:themeColor="background1"/>
              <w:bottom w:val="single" w:sz="4" w:space="0" w:color="66BBCA"/>
              <w:right w:val="single" w:sz="4" w:space="0" w:color="66BBCA"/>
            </w:tcBorders>
            <w:shd w:val="clear" w:color="auto" w:fill="FFFFFF" w:themeFill="background1"/>
          </w:tcPr>
          <w:p w14:paraId="2E91FF52" w14:textId="77777777" w:rsidR="005647BF" w:rsidRPr="000506AC" w:rsidRDefault="00057BA9" w:rsidP="00116229">
            <w:pPr>
              <w:contextualSpacing/>
              <w:rPr>
                <w:rFonts w:cs="Arial"/>
                <w:bCs/>
                <w:color w:val="7F7F7F"/>
              </w:rPr>
            </w:pPr>
            <w:r w:rsidRPr="000506AC">
              <w:rPr>
                <w:rFonts w:cs="Arial"/>
                <w:bCs/>
                <w:color w:val="7F7F7F"/>
              </w:rPr>
              <w:t>First Review draft</w:t>
            </w:r>
          </w:p>
        </w:tc>
      </w:tr>
      <w:tr w:rsidR="005647BF" w:rsidRPr="000506AC" w14:paraId="460F3831" w14:textId="77777777" w:rsidTr="00057BA9">
        <w:trPr>
          <w:trHeight w:val="397"/>
        </w:trPr>
        <w:tc>
          <w:tcPr>
            <w:tcW w:w="20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498DBDF6" w14:textId="77777777" w:rsidR="005647BF" w:rsidRPr="000506AC" w:rsidRDefault="005647BF" w:rsidP="00116229">
            <w:pPr>
              <w:contextualSpacing/>
              <w:rPr>
                <w:rFonts w:cs="Arial"/>
                <w:b/>
                <w:color w:val="FFFFFF" w:themeColor="background1"/>
              </w:rPr>
            </w:pPr>
            <w:r w:rsidRPr="000506AC">
              <w:rPr>
                <w:rFonts w:cs="Arial"/>
                <w:b/>
                <w:color w:val="FFFFFF" w:themeColor="background1"/>
              </w:rPr>
              <w:t>0.4</w:t>
            </w:r>
          </w:p>
        </w:tc>
        <w:tc>
          <w:tcPr>
            <w:tcW w:w="2965" w:type="pct"/>
            <w:tcBorders>
              <w:top w:val="single" w:sz="4" w:space="0" w:color="66BBCA"/>
              <w:left w:val="single" w:sz="4" w:space="0" w:color="FFFFFF" w:themeColor="background1"/>
              <w:bottom w:val="single" w:sz="4" w:space="0" w:color="66BBCA"/>
              <w:right w:val="single" w:sz="4" w:space="0" w:color="66BBCA"/>
            </w:tcBorders>
            <w:shd w:val="clear" w:color="auto" w:fill="FFFFFF" w:themeFill="background1"/>
          </w:tcPr>
          <w:p w14:paraId="5DBD666C" w14:textId="77777777" w:rsidR="005647BF" w:rsidRPr="000506AC" w:rsidRDefault="00057BA9" w:rsidP="00116229">
            <w:pPr>
              <w:contextualSpacing/>
              <w:rPr>
                <w:rFonts w:cs="Arial"/>
                <w:bCs/>
                <w:color w:val="7F7F7F"/>
              </w:rPr>
            </w:pPr>
            <w:r w:rsidRPr="000506AC">
              <w:rPr>
                <w:rFonts w:cs="Arial"/>
                <w:bCs/>
                <w:color w:val="7F7F7F"/>
              </w:rPr>
              <w:t>Final draft</w:t>
            </w:r>
          </w:p>
        </w:tc>
      </w:tr>
      <w:tr w:rsidR="00057BA9" w:rsidRPr="000506AC" w14:paraId="18EB0099" w14:textId="77777777" w:rsidTr="005536D2">
        <w:trPr>
          <w:trHeight w:val="397"/>
        </w:trPr>
        <w:tc>
          <w:tcPr>
            <w:tcW w:w="20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66BBCA"/>
          </w:tcPr>
          <w:p w14:paraId="50EB8C69" w14:textId="77777777" w:rsidR="00057BA9" w:rsidRPr="000506AC" w:rsidRDefault="00057BA9" w:rsidP="00116229">
            <w:pPr>
              <w:contextualSpacing/>
              <w:rPr>
                <w:rFonts w:cs="Arial"/>
                <w:b/>
                <w:color w:val="FFFFFF" w:themeColor="background1"/>
              </w:rPr>
            </w:pPr>
            <w:r w:rsidRPr="000506AC">
              <w:rPr>
                <w:rFonts w:cs="Arial"/>
                <w:b/>
                <w:color w:val="FFFFFF" w:themeColor="background1"/>
              </w:rPr>
              <w:t>1.0</w:t>
            </w:r>
          </w:p>
        </w:tc>
        <w:tc>
          <w:tcPr>
            <w:tcW w:w="2965" w:type="pct"/>
            <w:tcBorders>
              <w:top w:val="single" w:sz="4" w:space="0" w:color="66BBCA"/>
              <w:left w:val="single" w:sz="4" w:space="0" w:color="FFFFFF" w:themeColor="background1"/>
              <w:bottom w:val="single" w:sz="4" w:space="0" w:color="66BBCA"/>
              <w:right w:val="single" w:sz="4" w:space="0" w:color="66BBCA"/>
            </w:tcBorders>
            <w:shd w:val="clear" w:color="auto" w:fill="FFFFFF" w:themeFill="background1"/>
          </w:tcPr>
          <w:p w14:paraId="77768576" w14:textId="77777777" w:rsidR="00057BA9" w:rsidRPr="000506AC" w:rsidRDefault="00057BA9" w:rsidP="00116229">
            <w:pPr>
              <w:contextualSpacing/>
              <w:rPr>
                <w:rFonts w:cs="Arial"/>
                <w:bCs/>
                <w:color w:val="7F7F7F"/>
              </w:rPr>
            </w:pPr>
            <w:r w:rsidRPr="000506AC">
              <w:rPr>
                <w:rFonts w:cs="Arial"/>
                <w:bCs/>
                <w:color w:val="7F7F7F"/>
              </w:rPr>
              <w:t>Final</w:t>
            </w:r>
          </w:p>
        </w:tc>
      </w:tr>
      <w:tr w:rsidR="005536D2" w:rsidRPr="000506AC" w14:paraId="454B5127" w14:textId="77777777" w:rsidTr="00057BA9">
        <w:trPr>
          <w:trHeight w:val="397"/>
        </w:trPr>
        <w:tc>
          <w:tcPr>
            <w:tcW w:w="2035" w:type="pct"/>
            <w:tcBorders>
              <w:top w:val="single" w:sz="4" w:space="0" w:color="FFFFFF" w:themeColor="background1"/>
              <w:left w:val="single" w:sz="4" w:space="0" w:color="FFFFFF" w:themeColor="background1"/>
              <w:bottom w:val="nil"/>
              <w:right w:val="single" w:sz="4" w:space="0" w:color="FFFFFF" w:themeColor="background1"/>
            </w:tcBorders>
            <w:shd w:val="clear" w:color="auto" w:fill="66BBCA"/>
          </w:tcPr>
          <w:p w14:paraId="0A82A376" w14:textId="77777777" w:rsidR="005536D2" w:rsidRPr="000506AC" w:rsidRDefault="005536D2" w:rsidP="00116229">
            <w:pPr>
              <w:contextualSpacing/>
              <w:rPr>
                <w:rFonts w:cs="Arial"/>
                <w:b/>
                <w:color w:val="FFFFFF" w:themeColor="background1"/>
              </w:rPr>
            </w:pPr>
            <w:r>
              <w:rPr>
                <w:rFonts w:cs="Arial"/>
                <w:b/>
                <w:color w:val="FFFFFF" w:themeColor="background1"/>
              </w:rPr>
              <w:t>1.1</w:t>
            </w:r>
          </w:p>
        </w:tc>
        <w:tc>
          <w:tcPr>
            <w:tcW w:w="2965" w:type="pct"/>
            <w:tcBorders>
              <w:top w:val="single" w:sz="4" w:space="0" w:color="66BBCA"/>
              <w:left w:val="single" w:sz="4" w:space="0" w:color="FFFFFF" w:themeColor="background1"/>
              <w:bottom w:val="single" w:sz="4" w:space="0" w:color="66BBCA"/>
              <w:right w:val="single" w:sz="4" w:space="0" w:color="66BBCA"/>
            </w:tcBorders>
            <w:shd w:val="clear" w:color="auto" w:fill="FFFFFF" w:themeFill="background1"/>
          </w:tcPr>
          <w:p w14:paraId="50C589FB" w14:textId="77777777" w:rsidR="005536D2" w:rsidRPr="000506AC" w:rsidRDefault="005536D2" w:rsidP="00116229">
            <w:pPr>
              <w:contextualSpacing/>
              <w:rPr>
                <w:rFonts w:cs="Arial"/>
                <w:bCs/>
                <w:color w:val="7F7F7F"/>
              </w:rPr>
            </w:pPr>
            <w:r>
              <w:rPr>
                <w:rFonts w:cs="Arial"/>
                <w:bCs/>
                <w:color w:val="7F7F7F"/>
              </w:rPr>
              <w:t>Revised</w:t>
            </w:r>
          </w:p>
        </w:tc>
      </w:tr>
    </w:tbl>
    <w:p w14:paraId="75751F61" w14:textId="77777777" w:rsidR="00E941F8" w:rsidRPr="000506AC" w:rsidRDefault="00E941F8" w:rsidP="000956E5">
      <w:pPr>
        <w:rPr>
          <w:rFonts w:cs="Arial"/>
          <w:b/>
          <w:bCs/>
          <w:color w:val="66BBCA"/>
        </w:rPr>
      </w:pPr>
    </w:p>
    <w:p w14:paraId="2941C0C1" w14:textId="77777777" w:rsidR="00AA1420" w:rsidRDefault="00E941F8" w:rsidP="00791715">
      <w:pPr>
        <w:rPr>
          <w:rFonts w:cs="Arial"/>
          <w:b/>
          <w:bCs/>
          <w:color w:val="66BBCA"/>
        </w:rPr>
      </w:pPr>
      <w:r w:rsidRPr="000506AC">
        <w:rPr>
          <w:rFonts w:cs="Arial"/>
          <w:b/>
          <w:bCs/>
          <w:color w:val="66BBCA"/>
        </w:rPr>
        <w:br w:type="page"/>
      </w:r>
    </w:p>
    <w:p w14:paraId="5A8C70F9" w14:textId="77777777" w:rsidR="00791715" w:rsidRDefault="00791715" w:rsidP="00791715">
      <w:pPr>
        <w:rPr>
          <w:rFonts w:cs="Arial"/>
          <w:b/>
          <w:bCs/>
          <w:color w:val="66BBCA"/>
          <w:sz w:val="40"/>
          <w:szCs w:val="40"/>
        </w:rPr>
      </w:pPr>
      <w:r>
        <w:rPr>
          <w:rFonts w:cs="Arial"/>
          <w:b/>
          <w:bCs/>
          <w:color w:val="66BBCA"/>
          <w:sz w:val="40"/>
          <w:szCs w:val="40"/>
        </w:rPr>
        <w:t>TABLE OF CONTENTS</w:t>
      </w:r>
      <w:r w:rsidR="00EF227E">
        <w:rPr>
          <w:rFonts w:cs="Arial"/>
          <w:b/>
          <w:bCs/>
          <w:color w:val="66BBCA"/>
          <w:sz w:val="40"/>
          <w:szCs w:val="40"/>
        </w:rPr>
        <w:t xml:space="preserve"> </w:t>
      </w:r>
    </w:p>
    <w:p w14:paraId="58D6D786" w14:textId="77777777" w:rsidR="00886ED6" w:rsidRDefault="00791715">
      <w:pPr>
        <w:pStyle w:val="TOC1"/>
        <w:rPr>
          <w:rFonts w:asciiTheme="minorHAnsi" w:eastAsiaTheme="minorEastAsia" w:hAnsiTheme="minorHAnsi"/>
          <w:noProof/>
          <w:kern w:val="2"/>
          <w:lang w:eastAsia="en-GB"/>
          <w14:ligatures w14:val="standardContextual"/>
        </w:rPr>
      </w:pPr>
      <w:r>
        <w:rPr>
          <w:rFonts w:cs="Arial"/>
          <w:b/>
          <w:bCs/>
          <w:color w:val="66BBCA"/>
        </w:rPr>
        <w:fldChar w:fldCharType="begin"/>
      </w:r>
      <w:r>
        <w:rPr>
          <w:rFonts w:cs="Arial"/>
          <w:b/>
          <w:bCs/>
          <w:color w:val="66BBCA"/>
        </w:rPr>
        <w:instrText xml:space="preserve"> TOC \o "1-3" \h \z \u </w:instrText>
      </w:r>
      <w:r>
        <w:rPr>
          <w:rFonts w:cs="Arial"/>
          <w:b/>
          <w:bCs/>
          <w:color w:val="66BBCA"/>
        </w:rPr>
        <w:fldChar w:fldCharType="separate"/>
      </w:r>
      <w:hyperlink w:anchor="_Toc166073770" w:history="1">
        <w:r w:rsidR="00886ED6" w:rsidRPr="0068578A">
          <w:rPr>
            <w:rStyle w:val="Hyperlink"/>
            <w:noProof/>
          </w:rPr>
          <w:t>1</w:t>
        </w:r>
        <w:r w:rsidR="00886ED6">
          <w:rPr>
            <w:rFonts w:asciiTheme="minorHAnsi" w:eastAsiaTheme="minorEastAsia" w:hAnsiTheme="minorHAnsi"/>
            <w:noProof/>
            <w:kern w:val="2"/>
            <w:lang w:eastAsia="en-GB"/>
            <w14:ligatures w14:val="standardContextual"/>
          </w:rPr>
          <w:tab/>
        </w:r>
        <w:r w:rsidR="00886ED6" w:rsidRPr="0068578A">
          <w:rPr>
            <w:rStyle w:val="Hyperlink"/>
            <w:noProof/>
          </w:rPr>
          <w:t>Executive Summary</w:t>
        </w:r>
        <w:r w:rsidR="00886ED6">
          <w:rPr>
            <w:noProof/>
            <w:webHidden/>
          </w:rPr>
          <w:tab/>
        </w:r>
        <w:r w:rsidR="00886ED6">
          <w:rPr>
            <w:noProof/>
            <w:webHidden/>
          </w:rPr>
          <w:fldChar w:fldCharType="begin"/>
        </w:r>
        <w:r w:rsidR="00886ED6">
          <w:rPr>
            <w:noProof/>
            <w:webHidden/>
          </w:rPr>
          <w:instrText xml:space="preserve"> PAGEREF _Toc166073770 \h </w:instrText>
        </w:r>
        <w:r w:rsidR="00886ED6">
          <w:rPr>
            <w:noProof/>
            <w:webHidden/>
          </w:rPr>
        </w:r>
        <w:r w:rsidR="00886ED6">
          <w:rPr>
            <w:noProof/>
            <w:webHidden/>
          </w:rPr>
          <w:fldChar w:fldCharType="separate"/>
        </w:r>
        <w:r w:rsidR="005F7B06">
          <w:rPr>
            <w:noProof/>
            <w:webHidden/>
          </w:rPr>
          <w:t>4</w:t>
        </w:r>
        <w:r w:rsidR="00886ED6">
          <w:rPr>
            <w:noProof/>
            <w:webHidden/>
          </w:rPr>
          <w:fldChar w:fldCharType="end"/>
        </w:r>
      </w:hyperlink>
    </w:p>
    <w:p w14:paraId="45170C11" w14:textId="77777777" w:rsidR="00886ED6" w:rsidRDefault="00000000">
      <w:pPr>
        <w:pStyle w:val="TOC1"/>
        <w:rPr>
          <w:rFonts w:asciiTheme="minorHAnsi" w:eastAsiaTheme="minorEastAsia" w:hAnsiTheme="minorHAnsi"/>
          <w:noProof/>
          <w:kern w:val="2"/>
          <w:lang w:eastAsia="en-GB"/>
          <w14:ligatures w14:val="standardContextual"/>
        </w:rPr>
      </w:pPr>
      <w:hyperlink w:anchor="_Toc166073771" w:history="1">
        <w:r w:rsidR="00886ED6" w:rsidRPr="0068578A">
          <w:rPr>
            <w:rStyle w:val="Hyperlink"/>
            <w:noProof/>
          </w:rPr>
          <w:t>2</w:t>
        </w:r>
        <w:r w:rsidR="00886ED6">
          <w:rPr>
            <w:rFonts w:asciiTheme="minorHAnsi" w:eastAsiaTheme="minorEastAsia" w:hAnsiTheme="minorHAnsi"/>
            <w:noProof/>
            <w:kern w:val="2"/>
            <w:lang w:eastAsia="en-GB"/>
            <w14:ligatures w14:val="standardContextual"/>
          </w:rPr>
          <w:tab/>
        </w:r>
        <w:r w:rsidR="00886ED6" w:rsidRPr="0068578A">
          <w:rPr>
            <w:rStyle w:val="Hyperlink"/>
            <w:noProof/>
          </w:rPr>
          <w:t>Introduction</w:t>
        </w:r>
        <w:r w:rsidR="00886ED6">
          <w:rPr>
            <w:noProof/>
            <w:webHidden/>
          </w:rPr>
          <w:tab/>
        </w:r>
        <w:r w:rsidR="00886ED6">
          <w:rPr>
            <w:noProof/>
            <w:webHidden/>
          </w:rPr>
          <w:fldChar w:fldCharType="begin"/>
        </w:r>
        <w:r w:rsidR="00886ED6">
          <w:rPr>
            <w:noProof/>
            <w:webHidden/>
          </w:rPr>
          <w:instrText xml:space="preserve"> PAGEREF _Toc166073771 \h </w:instrText>
        </w:r>
        <w:r w:rsidR="00886ED6">
          <w:rPr>
            <w:noProof/>
            <w:webHidden/>
          </w:rPr>
        </w:r>
        <w:r w:rsidR="00886ED6">
          <w:rPr>
            <w:noProof/>
            <w:webHidden/>
          </w:rPr>
          <w:fldChar w:fldCharType="separate"/>
        </w:r>
        <w:r w:rsidR="005F7B06">
          <w:rPr>
            <w:noProof/>
            <w:webHidden/>
          </w:rPr>
          <w:t>5</w:t>
        </w:r>
        <w:r w:rsidR="00886ED6">
          <w:rPr>
            <w:noProof/>
            <w:webHidden/>
          </w:rPr>
          <w:fldChar w:fldCharType="end"/>
        </w:r>
      </w:hyperlink>
    </w:p>
    <w:p w14:paraId="2036C098" w14:textId="77777777" w:rsidR="00886ED6" w:rsidRDefault="00000000">
      <w:pPr>
        <w:pStyle w:val="TOC1"/>
        <w:rPr>
          <w:rFonts w:asciiTheme="minorHAnsi" w:eastAsiaTheme="minorEastAsia" w:hAnsiTheme="minorHAnsi"/>
          <w:noProof/>
          <w:kern w:val="2"/>
          <w:lang w:eastAsia="en-GB"/>
          <w14:ligatures w14:val="standardContextual"/>
        </w:rPr>
      </w:pPr>
      <w:hyperlink w:anchor="_Toc166073772" w:history="1">
        <w:r w:rsidR="00886ED6" w:rsidRPr="0068578A">
          <w:rPr>
            <w:rStyle w:val="Hyperlink"/>
            <w:noProof/>
          </w:rPr>
          <w:t>3</w:t>
        </w:r>
        <w:r w:rsidR="00886ED6">
          <w:rPr>
            <w:rFonts w:asciiTheme="minorHAnsi" w:eastAsiaTheme="minorEastAsia" w:hAnsiTheme="minorHAnsi"/>
            <w:noProof/>
            <w:kern w:val="2"/>
            <w:lang w:eastAsia="en-GB"/>
            <w14:ligatures w14:val="standardContextual"/>
          </w:rPr>
          <w:tab/>
        </w:r>
        <w:r w:rsidR="00886ED6" w:rsidRPr="0068578A">
          <w:rPr>
            <w:rStyle w:val="Hyperlink"/>
            <w:noProof/>
          </w:rPr>
          <w:t>Methodology</w:t>
        </w:r>
        <w:r w:rsidR="00886ED6">
          <w:rPr>
            <w:noProof/>
            <w:webHidden/>
          </w:rPr>
          <w:tab/>
        </w:r>
        <w:r w:rsidR="00886ED6">
          <w:rPr>
            <w:noProof/>
            <w:webHidden/>
          </w:rPr>
          <w:fldChar w:fldCharType="begin"/>
        </w:r>
        <w:r w:rsidR="00886ED6">
          <w:rPr>
            <w:noProof/>
            <w:webHidden/>
          </w:rPr>
          <w:instrText xml:space="preserve"> PAGEREF _Toc166073772 \h </w:instrText>
        </w:r>
        <w:r w:rsidR="00886ED6">
          <w:rPr>
            <w:noProof/>
            <w:webHidden/>
          </w:rPr>
        </w:r>
        <w:r w:rsidR="00886ED6">
          <w:rPr>
            <w:noProof/>
            <w:webHidden/>
          </w:rPr>
          <w:fldChar w:fldCharType="separate"/>
        </w:r>
        <w:r w:rsidR="005F7B06">
          <w:rPr>
            <w:noProof/>
            <w:webHidden/>
          </w:rPr>
          <w:t>6</w:t>
        </w:r>
        <w:r w:rsidR="00886ED6">
          <w:rPr>
            <w:noProof/>
            <w:webHidden/>
          </w:rPr>
          <w:fldChar w:fldCharType="end"/>
        </w:r>
      </w:hyperlink>
    </w:p>
    <w:p w14:paraId="6F874794" w14:textId="77777777" w:rsidR="00886ED6" w:rsidRDefault="00000000">
      <w:pPr>
        <w:pStyle w:val="TOC2"/>
        <w:tabs>
          <w:tab w:val="left" w:pos="880"/>
          <w:tab w:val="right" w:leader="dot" w:pos="9016"/>
        </w:tabs>
        <w:rPr>
          <w:rFonts w:asciiTheme="minorHAnsi" w:eastAsiaTheme="minorEastAsia" w:hAnsiTheme="minorHAnsi"/>
          <w:noProof/>
          <w:kern w:val="2"/>
          <w:lang w:eastAsia="en-GB"/>
          <w14:ligatures w14:val="standardContextual"/>
        </w:rPr>
      </w:pPr>
      <w:hyperlink w:anchor="_Toc166073773" w:history="1">
        <w:r w:rsidR="00886ED6" w:rsidRPr="0068578A">
          <w:rPr>
            <w:rStyle w:val="Hyperlink"/>
            <w:noProof/>
          </w:rPr>
          <w:t>3.1</w:t>
        </w:r>
        <w:r w:rsidR="00886ED6">
          <w:rPr>
            <w:rFonts w:asciiTheme="minorHAnsi" w:eastAsiaTheme="minorEastAsia" w:hAnsiTheme="minorHAnsi"/>
            <w:noProof/>
            <w:kern w:val="2"/>
            <w:lang w:eastAsia="en-GB"/>
            <w14:ligatures w14:val="standardContextual"/>
          </w:rPr>
          <w:tab/>
        </w:r>
        <w:r w:rsidR="00886ED6" w:rsidRPr="0068578A">
          <w:rPr>
            <w:rStyle w:val="Hyperlink"/>
            <w:noProof/>
          </w:rPr>
          <w:t>Quantifying direct cost of certification</w:t>
        </w:r>
        <w:r w:rsidR="00886ED6">
          <w:rPr>
            <w:noProof/>
            <w:webHidden/>
          </w:rPr>
          <w:tab/>
        </w:r>
        <w:r w:rsidR="00886ED6">
          <w:rPr>
            <w:noProof/>
            <w:webHidden/>
          </w:rPr>
          <w:fldChar w:fldCharType="begin"/>
        </w:r>
        <w:r w:rsidR="00886ED6">
          <w:rPr>
            <w:noProof/>
            <w:webHidden/>
          </w:rPr>
          <w:instrText xml:space="preserve"> PAGEREF _Toc166073773 \h </w:instrText>
        </w:r>
        <w:r w:rsidR="00886ED6">
          <w:rPr>
            <w:noProof/>
            <w:webHidden/>
          </w:rPr>
        </w:r>
        <w:r w:rsidR="00886ED6">
          <w:rPr>
            <w:noProof/>
            <w:webHidden/>
          </w:rPr>
          <w:fldChar w:fldCharType="separate"/>
        </w:r>
        <w:r w:rsidR="005F7B06">
          <w:rPr>
            <w:noProof/>
            <w:webHidden/>
          </w:rPr>
          <w:t>6</w:t>
        </w:r>
        <w:r w:rsidR="00886ED6">
          <w:rPr>
            <w:noProof/>
            <w:webHidden/>
          </w:rPr>
          <w:fldChar w:fldCharType="end"/>
        </w:r>
      </w:hyperlink>
    </w:p>
    <w:p w14:paraId="33D1FA18" w14:textId="77777777" w:rsidR="00886ED6" w:rsidRDefault="00000000">
      <w:pPr>
        <w:pStyle w:val="TOC2"/>
        <w:tabs>
          <w:tab w:val="left" w:pos="880"/>
          <w:tab w:val="right" w:leader="dot" w:pos="9016"/>
        </w:tabs>
        <w:rPr>
          <w:rFonts w:asciiTheme="minorHAnsi" w:eastAsiaTheme="minorEastAsia" w:hAnsiTheme="minorHAnsi"/>
          <w:noProof/>
          <w:kern w:val="2"/>
          <w:lang w:eastAsia="en-GB"/>
          <w14:ligatures w14:val="standardContextual"/>
        </w:rPr>
      </w:pPr>
      <w:hyperlink w:anchor="_Toc166073774" w:history="1">
        <w:r w:rsidR="00886ED6" w:rsidRPr="0068578A">
          <w:rPr>
            <w:rStyle w:val="Hyperlink"/>
            <w:noProof/>
          </w:rPr>
          <w:t>3.2</w:t>
        </w:r>
        <w:r w:rsidR="00886ED6">
          <w:rPr>
            <w:rFonts w:asciiTheme="minorHAnsi" w:eastAsiaTheme="minorEastAsia" w:hAnsiTheme="minorHAnsi"/>
            <w:noProof/>
            <w:kern w:val="2"/>
            <w:lang w:eastAsia="en-GB"/>
            <w14:ligatures w14:val="standardContextual"/>
          </w:rPr>
          <w:tab/>
        </w:r>
        <w:r w:rsidR="00886ED6" w:rsidRPr="0068578A">
          <w:rPr>
            <w:rStyle w:val="Hyperlink"/>
            <w:noProof/>
          </w:rPr>
          <w:t>Quantifying indirect costs and benefits of certification</w:t>
        </w:r>
        <w:r w:rsidR="00886ED6">
          <w:rPr>
            <w:noProof/>
            <w:webHidden/>
          </w:rPr>
          <w:tab/>
        </w:r>
        <w:r w:rsidR="00886ED6">
          <w:rPr>
            <w:noProof/>
            <w:webHidden/>
          </w:rPr>
          <w:fldChar w:fldCharType="begin"/>
        </w:r>
        <w:r w:rsidR="00886ED6">
          <w:rPr>
            <w:noProof/>
            <w:webHidden/>
          </w:rPr>
          <w:instrText xml:space="preserve"> PAGEREF _Toc166073774 \h </w:instrText>
        </w:r>
        <w:r w:rsidR="00886ED6">
          <w:rPr>
            <w:noProof/>
            <w:webHidden/>
          </w:rPr>
        </w:r>
        <w:r w:rsidR="00886ED6">
          <w:rPr>
            <w:noProof/>
            <w:webHidden/>
          </w:rPr>
          <w:fldChar w:fldCharType="separate"/>
        </w:r>
        <w:r w:rsidR="005F7B06">
          <w:rPr>
            <w:noProof/>
            <w:webHidden/>
          </w:rPr>
          <w:t>7</w:t>
        </w:r>
        <w:r w:rsidR="00886ED6">
          <w:rPr>
            <w:noProof/>
            <w:webHidden/>
          </w:rPr>
          <w:fldChar w:fldCharType="end"/>
        </w:r>
      </w:hyperlink>
    </w:p>
    <w:p w14:paraId="197431FA" w14:textId="77777777" w:rsidR="00886ED6" w:rsidRDefault="00000000">
      <w:pPr>
        <w:pStyle w:val="TOC1"/>
        <w:rPr>
          <w:rFonts w:asciiTheme="minorHAnsi" w:eastAsiaTheme="minorEastAsia" w:hAnsiTheme="minorHAnsi"/>
          <w:noProof/>
          <w:kern w:val="2"/>
          <w:lang w:eastAsia="en-GB"/>
          <w14:ligatures w14:val="standardContextual"/>
        </w:rPr>
      </w:pPr>
      <w:hyperlink w:anchor="_Toc166073775" w:history="1">
        <w:r w:rsidR="00886ED6" w:rsidRPr="0068578A">
          <w:rPr>
            <w:rStyle w:val="Hyperlink"/>
            <w:noProof/>
          </w:rPr>
          <w:t>4</w:t>
        </w:r>
        <w:r w:rsidR="00886ED6">
          <w:rPr>
            <w:rFonts w:asciiTheme="minorHAnsi" w:eastAsiaTheme="minorEastAsia" w:hAnsiTheme="minorHAnsi"/>
            <w:noProof/>
            <w:kern w:val="2"/>
            <w:lang w:eastAsia="en-GB"/>
            <w14:ligatures w14:val="standardContextual"/>
          </w:rPr>
          <w:tab/>
        </w:r>
        <w:r w:rsidR="00886ED6" w:rsidRPr="0068578A">
          <w:rPr>
            <w:rStyle w:val="Hyperlink"/>
            <w:noProof/>
          </w:rPr>
          <w:t>Findings</w:t>
        </w:r>
        <w:r w:rsidR="00886ED6">
          <w:rPr>
            <w:noProof/>
            <w:webHidden/>
          </w:rPr>
          <w:tab/>
        </w:r>
        <w:r w:rsidR="00886ED6">
          <w:rPr>
            <w:noProof/>
            <w:webHidden/>
          </w:rPr>
          <w:fldChar w:fldCharType="begin"/>
        </w:r>
        <w:r w:rsidR="00886ED6">
          <w:rPr>
            <w:noProof/>
            <w:webHidden/>
          </w:rPr>
          <w:instrText xml:space="preserve"> PAGEREF _Toc166073775 \h </w:instrText>
        </w:r>
        <w:r w:rsidR="00886ED6">
          <w:rPr>
            <w:noProof/>
            <w:webHidden/>
          </w:rPr>
        </w:r>
        <w:r w:rsidR="00886ED6">
          <w:rPr>
            <w:noProof/>
            <w:webHidden/>
          </w:rPr>
          <w:fldChar w:fldCharType="separate"/>
        </w:r>
        <w:r w:rsidR="005F7B06">
          <w:rPr>
            <w:noProof/>
            <w:webHidden/>
          </w:rPr>
          <w:t>8</w:t>
        </w:r>
        <w:r w:rsidR="00886ED6">
          <w:rPr>
            <w:noProof/>
            <w:webHidden/>
          </w:rPr>
          <w:fldChar w:fldCharType="end"/>
        </w:r>
      </w:hyperlink>
    </w:p>
    <w:p w14:paraId="19AE13B2" w14:textId="77777777" w:rsidR="00886ED6" w:rsidRDefault="00000000">
      <w:pPr>
        <w:pStyle w:val="TOC2"/>
        <w:tabs>
          <w:tab w:val="left" w:pos="880"/>
          <w:tab w:val="right" w:leader="dot" w:pos="9016"/>
        </w:tabs>
        <w:rPr>
          <w:rFonts w:asciiTheme="minorHAnsi" w:eastAsiaTheme="minorEastAsia" w:hAnsiTheme="minorHAnsi"/>
          <w:noProof/>
          <w:kern w:val="2"/>
          <w:lang w:eastAsia="en-GB"/>
          <w14:ligatures w14:val="standardContextual"/>
        </w:rPr>
      </w:pPr>
      <w:hyperlink w:anchor="_Toc166073776" w:history="1">
        <w:r w:rsidR="00886ED6" w:rsidRPr="0068578A">
          <w:rPr>
            <w:rStyle w:val="Hyperlink"/>
            <w:noProof/>
          </w:rPr>
          <w:t>4.1</w:t>
        </w:r>
        <w:r w:rsidR="00886ED6">
          <w:rPr>
            <w:rFonts w:asciiTheme="minorHAnsi" w:eastAsiaTheme="minorEastAsia" w:hAnsiTheme="minorHAnsi"/>
            <w:noProof/>
            <w:kern w:val="2"/>
            <w:lang w:eastAsia="en-GB"/>
            <w14:ligatures w14:val="standardContextual"/>
          </w:rPr>
          <w:tab/>
        </w:r>
        <w:r w:rsidR="00886ED6" w:rsidRPr="0068578A">
          <w:rPr>
            <w:rStyle w:val="Hyperlink"/>
            <w:noProof/>
          </w:rPr>
          <w:t>Database with (in)direct costs and benefits of certification</w:t>
        </w:r>
        <w:r w:rsidR="00886ED6">
          <w:rPr>
            <w:noProof/>
            <w:webHidden/>
          </w:rPr>
          <w:tab/>
        </w:r>
        <w:r w:rsidR="00886ED6">
          <w:rPr>
            <w:noProof/>
            <w:webHidden/>
          </w:rPr>
          <w:fldChar w:fldCharType="begin"/>
        </w:r>
        <w:r w:rsidR="00886ED6">
          <w:rPr>
            <w:noProof/>
            <w:webHidden/>
          </w:rPr>
          <w:instrText xml:space="preserve"> PAGEREF _Toc166073776 \h </w:instrText>
        </w:r>
        <w:r w:rsidR="00886ED6">
          <w:rPr>
            <w:noProof/>
            <w:webHidden/>
          </w:rPr>
        </w:r>
        <w:r w:rsidR="00886ED6">
          <w:rPr>
            <w:noProof/>
            <w:webHidden/>
          </w:rPr>
          <w:fldChar w:fldCharType="separate"/>
        </w:r>
        <w:r w:rsidR="005F7B06">
          <w:rPr>
            <w:noProof/>
            <w:webHidden/>
          </w:rPr>
          <w:t>8</w:t>
        </w:r>
        <w:r w:rsidR="00886ED6">
          <w:rPr>
            <w:noProof/>
            <w:webHidden/>
          </w:rPr>
          <w:fldChar w:fldCharType="end"/>
        </w:r>
      </w:hyperlink>
    </w:p>
    <w:p w14:paraId="46365F44" w14:textId="77777777" w:rsidR="00886ED6" w:rsidRDefault="00000000">
      <w:pPr>
        <w:pStyle w:val="TOC2"/>
        <w:tabs>
          <w:tab w:val="left" w:pos="880"/>
          <w:tab w:val="right" w:leader="dot" w:pos="9016"/>
        </w:tabs>
        <w:rPr>
          <w:rFonts w:asciiTheme="minorHAnsi" w:eastAsiaTheme="minorEastAsia" w:hAnsiTheme="minorHAnsi"/>
          <w:noProof/>
          <w:kern w:val="2"/>
          <w:lang w:eastAsia="en-GB"/>
          <w14:ligatures w14:val="standardContextual"/>
        </w:rPr>
      </w:pPr>
      <w:hyperlink w:anchor="_Toc166073777" w:history="1">
        <w:r w:rsidR="00886ED6" w:rsidRPr="0068578A">
          <w:rPr>
            <w:rStyle w:val="Hyperlink"/>
            <w:noProof/>
          </w:rPr>
          <w:t>4.2</w:t>
        </w:r>
        <w:r w:rsidR="00886ED6">
          <w:rPr>
            <w:rFonts w:asciiTheme="minorHAnsi" w:eastAsiaTheme="minorEastAsia" w:hAnsiTheme="minorHAnsi"/>
            <w:noProof/>
            <w:kern w:val="2"/>
            <w:lang w:eastAsia="en-GB"/>
            <w14:ligatures w14:val="standardContextual"/>
          </w:rPr>
          <w:tab/>
        </w:r>
        <w:r w:rsidR="00886ED6" w:rsidRPr="0068578A">
          <w:rPr>
            <w:rStyle w:val="Hyperlink"/>
            <w:noProof/>
          </w:rPr>
          <w:t>Direct costs</w:t>
        </w:r>
        <w:r w:rsidR="00886ED6">
          <w:rPr>
            <w:noProof/>
            <w:webHidden/>
          </w:rPr>
          <w:tab/>
        </w:r>
        <w:r w:rsidR="00886ED6">
          <w:rPr>
            <w:noProof/>
            <w:webHidden/>
          </w:rPr>
          <w:fldChar w:fldCharType="begin"/>
        </w:r>
        <w:r w:rsidR="00886ED6">
          <w:rPr>
            <w:noProof/>
            <w:webHidden/>
          </w:rPr>
          <w:instrText xml:space="preserve"> PAGEREF _Toc166073777 \h </w:instrText>
        </w:r>
        <w:r w:rsidR="00886ED6">
          <w:rPr>
            <w:noProof/>
            <w:webHidden/>
          </w:rPr>
        </w:r>
        <w:r w:rsidR="00886ED6">
          <w:rPr>
            <w:noProof/>
            <w:webHidden/>
          </w:rPr>
          <w:fldChar w:fldCharType="separate"/>
        </w:r>
        <w:r w:rsidR="005F7B06">
          <w:rPr>
            <w:noProof/>
            <w:webHidden/>
          </w:rPr>
          <w:t>8</w:t>
        </w:r>
        <w:r w:rsidR="00886ED6">
          <w:rPr>
            <w:noProof/>
            <w:webHidden/>
          </w:rPr>
          <w:fldChar w:fldCharType="end"/>
        </w:r>
      </w:hyperlink>
    </w:p>
    <w:p w14:paraId="2EF1981C" w14:textId="77777777" w:rsidR="00886ED6" w:rsidRDefault="00000000">
      <w:pPr>
        <w:pStyle w:val="TOC3"/>
        <w:tabs>
          <w:tab w:val="left" w:pos="1320"/>
          <w:tab w:val="right" w:leader="dot" w:pos="9016"/>
        </w:tabs>
        <w:rPr>
          <w:rFonts w:asciiTheme="minorHAnsi" w:eastAsiaTheme="minorEastAsia" w:hAnsiTheme="minorHAnsi"/>
          <w:noProof/>
          <w:kern w:val="2"/>
          <w:lang w:eastAsia="en-GB"/>
          <w14:ligatures w14:val="standardContextual"/>
        </w:rPr>
      </w:pPr>
      <w:hyperlink w:anchor="_Toc166073778" w:history="1">
        <w:r w:rsidR="00886ED6" w:rsidRPr="0068578A">
          <w:rPr>
            <w:rStyle w:val="Hyperlink"/>
            <w:noProof/>
          </w:rPr>
          <w:t>4.2.1</w:t>
        </w:r>
        <w:r w:rsidR="00886ED6">
          <w:rPr>
            <w:rFonts w:asciiTheme="minorHAnsi" w:eastAsiaTheme="minorEastAsia" w:hAnsiTheme="minorHAnsi"/>
            <w:noProof/>
            <w:kern w:val="2"/>
            <w:lang w:eastAsia="en-GB"/>
            <w14:ligatures w14:val="standardContextual"/>
          </w:rPr>
          <w:tab/>
        </w:r>
        <w:r w:rsidR="00886ED6" w:rsidRPr="0068578A">
          <w:rPr>
            <w:rStyle w:val="Hyperlink"/>
            <w:noProof/>
          </w:rPr>
          <w:t>Cost categories and averages prices</w:t>
        </w:r>
        <w:r w:rsidR="00886ED6">
          <w:rPr>
            <w:noProof/>
            <w:webHidden/>
          </w:rPr>
          <w:tab/>
        </w:r>
        <w:r w:rsidR="00886ED6">
          <w:rPr>
            <w:noProof/>
            <w:webHidden/>
          </w:rPr>
          <w:fldChar w:fldCharType="begin"/>
        </w:r>
        <w:r w:rsidR="00886ED6">
          <w:rPr>
            <w:noProof/>
            <w:webHidden/>
          </w:rPr>
          <w:instrText xml:space="preserve"> PAGEREF _Toc166073778 \h </w:instrText>
        </w:r>
        <w:r w:rsidR="00886ED6">
          <w:rPr>
            <w:noProof/>
            <w:webHidden/>
          </w:rPr>
        </w:r>
        <w:r w:rsidR="00886ED6">
          <w:rPr>
            <w:noProof/>
            <w:webHidden/>
          </w:rPr>
          <w:fldChar w:fldCharType="separate"/>
        </w:r>
        <w:r w:rsidR="005F7B06">
          <w:rPr>
            <w:noProof/>
            <w:webHidden/>
          </w:rPr>
          <w:t>9</w:t>
        </w:r>
        <w:r w:rsidR="00886ED6">
          <w:rPr>
            <w:noProof/>
            <w:webHidden/>
          </w:rPr>
          <w:fldChar w:fldCharType="end"/>
        </w:r>
      </w:hyperlink>
    </w:p>
    <w:p w14:paraId="05652CF0" w14:textId="77777777" w:rsidR="00886ED6" w:rsidRDefault="00000000">
      <w:pPr>
        <w:pStyle w:val="TOC3"/>
        <w:tabs>
          <w:tab w:val="left" w:pos="1320"/>
          <w:tab w:val="right" w:leader="dot" w:pos="9016"/>
        </w:tabs>
        <w:rPr>
          <w:rFonts w:asciiTheme="minorHAnsi" w:eastAsiaTheme="minorEastAsia" w:hAnsiTheme="minorHAnsi"/>
          <w:noProof/>
          <w:kern w:val="2"/>
          <w:lang w:eastAsia="en-GB"/>
          <w14:ligatures w14:val="standardContextual"/>
        </w:rPr>
      </w:pPr>
      <w:hyperlink w:anchor="_Toc166073779" w:history="1">
        <w:r w:rsidR="00886ED6" w:rsidRPr="0068578A">
          <w:rPr>
            <w:rStyle w:val="Hyperlink"/>
            <w:noProof/>
          </w:rPr>
          <w:t>4.2.2</w:t>
        </w:r>
        <w:r w:rsidR="00886ED6">
          <w:rPr>
            <w:rFonts w:asciiTheme="minorHAnsi" w:eastAsiaTheme="minorEastAsia" w:hAnsiTheme="minorHAnsi"/>
            <w:noProof/>
            <w:kern w:val="2"/>
            <w:lang w:eastAsia="en-GB"/>
            <w14:ligatures w14:val="standardContextual"/>
          </w:rPr>
          <w:tab/>
        </w:r>
        <w:r w:rsidR="00886ED6" w:rsidRPr="0068578A">
          <w:rPr>
            <w:rStyle w:val="Hyperlink"/>
            <w:noProof/>
          </w:rPr>
          <w:t>Examples on different supply chain cost items</w:t>
        </w:r>
        <w:r w:rsidR="00886ED6">
          <w:rPr>
            <w:noProof/>
            <w:webHidden/>
          </w:rPr>
          <w:tab/>
        </w:r>
        <w:r w:rsidR="00886ED6">
          <w:rPr>
            <w:noProof/>
            <w:webHidden/>
          </w:rPr>
          <w:fldChar w:fldCharType="begin"/>
        </w:r>
        <w:r w:rsidR="00886ED6">
          <w:rPr>
            <w:noProof/>
            <w:webHidden/>
          </w:rPr>
          <w:instrText xml:space="preserve"> PAGEREF _Toc166073779 \h </w:instrText>
        </w:r>
        <w:r w:rsidR="00886ED6">
          <w:rPr>
            <w:noProof/>
            <w:webHidden/>
          </w:rPr>
        </w:r>
        <w:r w:rsidR="00886ED6">
          <w:rPr>
            <w:noProof/>
            <w:webHidden/>
          </w:rPr>
          <w:fldChar w:fldCharType="separate"/>
        </w:r>
        <w:r w:rsidR="005F7B06">
          <w:rPr>
            <w:noProof/>
            <w:webHidden/>
          </w:rPr>
          <w:t>10</w:t>
        </w:r>
        <w:r w:rsidR="00886ED6">
          <w:rPr>
            <w:noProof/>
            <w:webHidden/>
          </w:rPr>
          <w:fldChar w:fldCharType="end"/>
        </w:r>
      </w:hyperlink>
    </w:p>
    <w:p w14:paraId="1579A099" w14:textId="77777777" w:rsidR="00886ED6" w:rsidRDefault="00000000">
      <w:pPr>
        <w:pStyle w:val="TOC3"/>
        <w:tabs>
          <w:tab w:val="left" w:pos="1320"/>
          <w:tab w:val="right" w:leader="dot" w:pos="9016"/>
        </w:tabs>
        <w:rPr>
          <w:rFonts w:asciiTheme="minorHAnsi" w:eastAsiaTheme="minorEastAsia" w:hAnsiTheme="minorHAnsi"/>
          <w:noProof/>
          <w:kern w:val="2"/>
          <w:lang w:eastAsia="en-GB"/>
          <w14:ligatures w14:val="standardContextual"/>
        </w:rPr>
      </w:pPr>
      <w:hyperlink w:anchor="_Toc166073780" w:history="1">
        <w:r w:rsidR="00886ED6" w:rsidRPr="0068578A">
          <w:rPr>
            <w:rStyle w:val="Hyperlink"/>
            <w:noProof/>
          </w:rPr>
          <w:t>4.2.3</w:t>
        </w:r>
        <w:r w:rsidR="00886ED6">
          <w:rPr>
            <w:rFonts w:asciiTheme="minorHAnsi" w:eastAsiaTheme="minorEastAsia" w:hAnsiTheme="minorHAnsi"/>
            <w:noProof/>
            <w:kern w:val="2"/>
            <w:lang w:eastAsia="en-GB"/>
            <w14:ligatures w14:val="standardContextual"/>
          </w:rPr>
          <w:tab/>
        </w:r>
        <w:r w:rsidR="00886ED6" w:rsidRPr="0068578A">
          <w:rPr>
            <w:rStyle w:val="Hyperlink"/>
            <w:noProof/>
          </w:rPr>
          <w:t>Influencing factors</w:t>
        </w:r>
        <w:r w:rsidR="00886ED6">
          <w:rPr>
            <w:noProof/>
            <w:webHidden/>
          </w:rPr>
          <w:tab/>
        </w:r>
        <w:r w:rsidR="00886ED6">
          <w:rPr>
            <w:noProof/>
            <w:webHidden/>
          </w:rPr>
          <w:fldChar w:fldCharType="begin"/>
        </w:r>
        <w:r w:rsidR="00886ED6">
          <w:rPr>
            <w:noProof/>
            <w:webHidden/>
          </w:rPr>
          <w:instrText xml:space="preserve"> PAGEREF _Toc166073780 \h </w:instrText>
        </w:r>
        <w:r w:rsidR="00886ED6">
          <w:rPr>
            <w:noProof/>
            <w:webHidden/>
          </w:rPr>
        </w:r>
        <w:r w:rsidR="00886ED6">
          <w:rPr>
            <w:noProof/>
            <w:webHidden/>
          </w:rPr>
          <w:fldChar w:fldCharType="separate"/>
        </w:r>
        <w:r w:rsidR="005F7B06">
          <w:rPr>
            <w:noProof/>
            <w:webHidden/>
          </w:rPr>
          <w:t>11</w:t>
        </w:r>
        <w:r w:rsidR="00886ED6">
          <w:rPr>
            <w:noProof/>
            <w:webHidden/>
          </w:rPr>
          <w:fldChar w:fldCharType="end"/>
        </w:r>
      </w:hyperlink>
    </w:p>
    <w:p w14:paraId="7612C3E7" w14:textId="77777777" w:rsidR="00886ED6" w:rsidRDefault="00000000">
      <w:pPr>
        <w:pStyle w:val="TOC2"/>
        <w:tabs>
          <w:tab w:val="left" w:pos="880"/>
          <w:tab w:val="right" w:leader="dot" w:pos="9016"/>
        </w:tabs>
        <w:rPr>
          <w:rFonts w:asciiTheme="minorHAnsi" w:eastAsiaTheme="minorEastAsia" w:hAnsiTheme="minorHAnsi"/>
          <w:noProof/>
          <w:kern w:val="2"/>
          <w:lang w:eastAsia="en-GB"/>
          <w14:ligatures w14:val="standardContextual"/>
        </w:rPr>
      </w:pPr>
      <w:hyperlink w:anchor="_Toc166073781" w:history="1">
        <w:r w:rsidR="00886ED6" w:rsidRPr="0068578A">
          <w:rPr>
            <w:rStyle w:val="Hyperlink"/>
            <w:noProof/>
          </w:rPr>
          <w:t>4.3</w:t>
        </w:r>
        <w:r w:rsidR="00886ED6">
          <w:rPr>
            <w:rFonts w:asciiTheme="minorHAnsi" w:eastAsiaTheme="minorEastAsia" w:hAnsiTheme="minorHAnsi"/>
            <w:noProof/>
            <w:kern w:val="2"/>
            <w:lang w:eastAsia="en-GB"/>
            <w14:ligatures w14:val="standardContextual"/>
          </w:rPr>
          <w:tab/>
        </w:r>
        <w:r w:rsidR="00886ED6" w:rsidRPr="0068578A">
          <w:rPr>
            <w:rStyle w:val="Hyperlink"/>
            <w:noProof/>
          </w:rPr>
          <w:t>Indirect costs</w:t>
        </w:r>
        <w:r w:rsidR="00886ED6">
          <w:rPr>
            <w:noProof/>
            <w:webHidden/>
          </w:rPr>
          <w:tab/>
        </w:r>
        <w:r w:rsidR="00886ED6">
          <w:rPr>
            <w:noProof/>
            <w:webHidden/>
          </w:rPr>
          <w:fldChar w:fldCharType="begin"/>
        </w:r>
        <w:r w:rsidR="00886ED6">
          <w:rPr>
            <w:noProof/>
            <w:webHidden/>
          </w:rPr>
          <w:instrText xml:space="preserve"> PAGEREF _Toc166073781 \h </w:instrText>
        </w:r>
        <w:r w:rsidR="00886ED6">
          <w:rPr>
            <w:noProof/>
            <w:webHidden/>
          </w:rPr>
        </w:r>
        <w:r w:rsidR="00886ED6">
          <w:rPr>
            <w:noProof/>
            <w:webHidden/>
          </w:rPr>
          <w:fldChar w:fldCharType="separate"/>
        </w:r>
        <w:r w:rsidR="005F7B06">
          <w:rPr>
            <w:noProof/>
            <w:webHidden/>
          </w:rPr>
          <w:t>12</w:t>
        </w:r>
        <w:r w:rsidR="00886ED6">
          <w:rPr>
            <w:noProof/>
            <w:webHidden/>
          </w:rPr>
          <w:fldChar w:fldCharType="end"/>
        </w:r>
      </w:hyperlink>
    </w:p>
    <w:p w14:paraId="48F26935" w14:textId="77777777" w:rsidR="00886ED6" w:rsidRDefault="00000000">
      <w:pPr>
        <w:pStyle w:val="TOC1"/>
        <w:rPr>
          <w:rFonts w:asciiTheme="minorHAnsi" w:eastAsiaTheme="minorEastAsia" w:hAnsiTheme="minorHAnsi"/>
          <w:noProof/>
          <w:kern w:val="2"/>
          <w:lang w:eastAsia="en-GB"/>
          <w14:ligatures w14:val="standardContextual"/>
        </w:rPr>
      </w:pPr>
      <w:hyperlink w:anchor="_Toc166073782" w:history="1">
        <w:r w:rsidR="00886ED6" w:rsidRPr="0068578A">
          <w:rPr>
            <w:rStyle w:val="Hyperlink"/>
            <w:noProof/>
          </w:rPr>
          <w:t>5</w:t>
        </w:r>
        <w:r w:rsidR="00886ED6">
          <w:rPr>
            <w:rFonts w:asciiTheme="minorHAnsi" w:eastAsiaTheme="minorEastAsia" w:hAnsiTheme="minorHAnsi"/>
            <w:noProof/>
            <w:kern w:val="2"/>
            <w:lang w:eastAsia="en-GB"/>
            <w14:ligatures w14:val="standardContextual"/>
          </w:rPr>
          <w:tab/>
        </w:r>
        <w:r w:rsidR="00886ED6" w:rsidRPr="0068578A">
          <w:rPr>
            <w:rStyle w:val="Hyperlink"/>
            <w:noProof/>
          </w:rPr>
          <w:t>Conclusions</w:t>
        </w:r>
        <w:r w:rsidR="00886ED6">
          <w:rPr>
            <w:noProof/>
            <w:webHidden/>
          </w:rPr>
          <w:tab/>
        </w:r>
        <w:r w:rsidR="00886ED6">
          <w:rPr>
            <w:noProof/>
            <w:webHidden/>
          </w:rPr>
          <w:fldChar w:fldCharType="begin"/>
        </w:r>
        <w:r w:rsidR="00886ED6">
          <w:rPr>
            <w:noProof/>
            <w:webHidden/>
          </w:rPr>
          <w:instrText xml:space="preserve"> PAGEREF _Toc166073782 \h </w:instrText>
        </w:r>
        <w:r w:rsidR="00886ED6">
          <w:rPr>
            <w:noProof/>
            <w:webHidden/>
          </w:rPr>
        </w:r>
        <w:r w:rsidR="00886ED6">
          <w:rPr>
            <w:noProof/>
            <w:webHidden/>
          </w:rPr>
          <w:fldChar w:fldCharType="separate"/>
        </w:r>
        <w:r w:rsidR="005F7B06">
          <w:rPr>
            <w:noProof/>
            <w:webHidden/>
          </w:rPr>
          <w:t>17</w:t>
        </w:r>
        <w:r w:rsidR="00886ED6">
          <w:rPr>
            <w:noProof/>
            <w:webHidden/>
          </w:rPr>
          <w:fldChar w:fldCharType="end"/>
        </w:r>
      </w:hyperlink>
    </w:p>
    <w:p w14:paraId="16BAEC80" w14:textId="77777777" w:rsidR="00886ED6" w:rsidRDefault="00000000">
      <w:pPr>
        <w:pStyle w:val="TOC1"/>
        <w:rPr>
          <w:rFonts w:asciiTheme="minorHAnsi" w:eastAsiaTheme="minorEastAsia" w:hAnsiTheme="minorHAnsi"/>
          <w:noProof/>
          <w:kern w:val="2"/>
          <w:lang w:eastAsia="en-GB"/>
          <w14:ligatures w14:val="standardContextual"/>
        </w:rPr>
      </w:pPr>
      <w:hyperlink w:anchor="_Toc166073783" w:history="1">
        <w:r w:rsidR="00886ED6" w:rsidRPr="0068578A">
          <w:rPr>
            <w:rStyle w:val="Hyperlink"/>
            <w:noProof/>
          </w:rPr>
          <w:t>6</w:t>
        </w:r>
        <w:r w:rsidR="00886ED6">
          <w:rPr>
            <w:rFonts w:asciiTheme="minorHAnsi" w:eastAsiaTheme="minorEastAsia" w:hAnsiTheme="minorHAnsi"/>
            <w:noProof/>
            <w:kern w:val="2"/>
            <w:lang w:eastAsia="en-GB"/>
            <w14:ligatures w14:val="standardContextual"/>
          </w:rPr>
          <w:tab/>
        </w:r>
        <w:r w:rsidR="00886ED6" w:rsidRPr="0068578A">
          <w:rPr>
            <w:rStyle w:val="Hyperlink"/>
            <w:noProof/>
          </w:rPr>
          <w:t>References</w:t>
        </w:r>
        <w:r w:rsidR="00886ED6">
          <w:rPr>
            <w:noProof/>
            <w:webHidden/>
          </w:rPr>
          <w:tab/>
        </w:r>
        <w:r w:rsidR="00886ED6">
          <w:rPr>
            <w:noProof/>
            <w:webHidden/>
          </w:rPr>
          <w:fldChar w:fldCharType="begin"/>
        </w:r>
        <w:r w:rsidR="00886ED6">
          <w:rPr>
            <w:noProof/>
            <w:webHidden/>
          </w:rPr>
          <w:instrText xml:space="preserve"> PAGEREF _Toc166073783 \h </w:instrText>
        </w:r>
        <w:r w:rsidR="00886ED6">
          <w:rPr>
            <w:noProof/>
            <w:webHidden/>
          </w:rPr>
        </w:r>
        <w:r w:rsidR="00886ED6">
          <w:rPr>
            <w:noProof/>
            <w:webHidden/>
          </w:rPr>
          <w:fldChar w:fldCharType="separate"/>
        </w:r>
        <w:r w:rsidR="005F7B06">
          <w:rPr>
            <w:noProof/>
            <w:webHidden/>
          </w:rPr>
          <w:t>19</w:t>
        </w:r>
        <w:r w:rsidR="00886ED6">
          <w:rPr>
            <w:noProof/>
            <w:webHidden/>
          </w:rPr>
          <w:fldChar w:fldCharType="end"/>
        </w:r>
      </w:hyperlink>
    </w:p>
    <w:p w14:paraId="1C0FA09A" w14:textId="77777777" w:rsidR="00886ED6" w:rsidRDefault="00000000">
      <w:pPr>
        <w:pStyle w:val="TOC1"/>
        <w:rPr>
          <w:rFonts w:asciiTheme="minorHAnsi" w:eastAsiaTheme="minorEastAsia" w:hAnsiTheme="minorHAnsi"/>
          <w:noProof/>
          <w:kern w:val="2"/>
          <w:lang w:eastAsia="en-GB"/>
          <w14:ligatures w14:val="standardContextual"/>
        </w:rPr>
      </w:pPr>
      <w:hyperlink w:anchor="_Toc166073784" w:history="1">
        <w:r w:rsidR="00886ED6" w:rsidRPr="0068578A">
          <w:rPr>
            <w:rStyle w:val="Hyperlink"/>
            <w:noProof/>
          </w:rPr>
          <w:t>7</w:t>
        </w:r>
        <w:r w:rsidR="00886ED6">
          <w:rPr>
            <w:rFonts w:asciiTheme="minorHAnsi" w:eastAsiaTheme="minorEastAsia" w:hAnsiTheme="minorHAnsi"/>
            <w:noProof/>
            <w:kern w:val="2"/>
            <w:lang w:eastAsia="en-GB"/>
            <w14:ligatures w14:val="standardContextual"/>
          </w:rPr>
          <w:tab/>
        </w:r>
        <w:r w:rsidR="00886ED6" w:rsidRPr="0068578A">
          <w:rPr>
            <w:rStyle w:val="Hyperlink"/>
            <w:noProof/>
          </w:rPr>
          <w:t>Appendices</w:t>
        </w:r>
        <w:r w:rsidR="00886ED6">
          <w:rPr>
            <w:noProof/>
            <w:webHidden/>
          </w:rPr>
          <w:tab/>
        </w:r>
        <w:r w:rsidR="00886ED6">
          <w:rPr>
            <w:noProof/>
            <w:webHidden/>
          </w:rPr>
          <w:fldChar w:fldCharType="begin"/>
        </w:r>
        <w:r w:rsidR="00886ED6">
          <w:rPr>
            <w:noProof/>
            <w:webHidden/>
          </w:rPr>
          <w:instrText xml:space="preserve"> PAGEREF _Toc166073784 \h </w:instrText>
        </w:r>
        <w:r w:rsidR="00886ED6">
          <w:rPr>
            <w:noProof/>
            <w:webHidden/>
          </w:rPr>
        </w:r>
        <w:r w:rsidR="00886ED6">
          <w:rPr>
            <w:noProof/>
            <w:webHidden/>
          </w:rPr>
          <w:fldChar w:fldCharType="separate"/>
        </w:r>
        <w:r w:rsidR="005F7B06">
          <w:rPr>
            <w:noProof/>
            <w:webHidden/>
          </w:rPr>
          <w:t>23</w:t>
        </w:r>
        <w:r w:rsidR="00886ED6">
          <w:rPr>
            <w:noProof/>
            <w:webHidden/>
          </w:rPr>
          <w:fldChar w:fldCharType="end"/>
        </w:r>
      </w:hyperlink>
    </w:p>
    <w:p w14:paraId="1E90ECF8" w14:textId="77777777" w:rsidR="00886ED6" w:rsidRDefault="00000000">
      <w:pPr>
        <w:pStyle w:val="TOC2"/>
        <w:tabs>
          <w:tab w:val="left" w:pos="880"/>
          <w:tab w:val="right" w:leader="dot" w:pos="9016"/>
        </w:tabs>
        <w:rPr>
          <w:rFonts w:asciiTheme="minorHAnsi" w:eastAsiaTheme="minorEastAsia" w:hAnsiTheme="minorHAnsi"/>
          <w:noProof/>
          <w:kern w:val="2"/>
          <w:lang w:eastAsia="en-GB"/>
          <w14:ligatures w14:val="standardContextual"/>
        </w:rPr>
      </w:pPr>
      <w:hyperlink w:anchor="_Toc166073785" w:history="1">
        <w:r w:rsidR="00886ED6" w:rsidRPr="0068578A">
          <w:rPr>
            <w:rStyle w:val="Hyperlink"/>
            <w:noProof/>
          </w:rPr>
          <w:t>7.1</w:t>
        </w:r>
        <w:r w:rsidR="00886ED6">
          <w:rPr>
            <w:rFonts w:asciiTheme="minorHAnsi" w:eastAsiaTheme="minorEastAsia" w:hAnsiTheme="minorHAnsi"/>
            <w:noProof/>
            <w:kern w:val="2"/>
            <w:lang w:eastAsia="en-GB"/>
            <w14:ligatures w14:val="standardContextual"/>
          </w:rPr>
          <w:tab/>
        </w:r>
        <w:r w:rsidR="00886ED6" w:rsidRPr="0068578A">
          <w:rPr>
            <w:rStyle w:val="Hyperlink"/>
            <w:noProof/>
          </w:rPr>
          <w:t>Database</w:t>
        </w:r>
        <w:r w:rsidR="00886ED6">
          <w:rPr>
            <w:noProof/>
            <w:webHidden/>
          </w:rPr>
          <w:tab/>
        </w:r>
        <w:r w:rsidR="00886ED6">
          <w:rPr>
            <w:noProof/>
            <w:webHidden/>
          </w:rPr>
          <w:fldChar w:fldCharType="begin"/>
        </w:r>
        <w:r w:rsidR="00886ED6">
          <w:rPr>
            <w:noProof/>
            <w:webHidden/>
          </w:rPr>
          <w:instrText xml:space="preserve"> PAGEREF _Toc166073785 \h </w:instrText>
        </w:r>
        <w:r w:rsidR="00886ED6">
          <w:rPr>
            <w:noProof/>
            <w:webHidden/>
          </w:rPr>
        </w:r>
        <w:r w:rsidR="00886ED6">
          <w:rPr>
            <w:noProof/>
            <w:webHidden/>
          </w:rPr>
          <w:fldChar w:fldCharType="separate"/>
        </w:r>
        <w:r w:rsidR="005F7B06">
          <w:rPr>
            <w:noProof/>
            <w:webHidden/>
          </w:rPr>
          <w:t>23</w:t>
        </w:r>
        <w:r w:rsidR="00886ED6">
          <w:rPr>
            <w:noProof/>
            <w:webHidden/>
          </w:rPr>
          <w:fldChar w:fldCharType="end"/>
        </w:r>
      </w:hyperlink>
    </w:p>
    <w:p w14:paraId="38DFA256" w14:textId="77777777" w:rsidR="00886ED6" w:rsidRDefault="00000000">
      <w:pPr>
        <w:pStyle w:val="TOC2"/>
        <w:tabs>
          <w:tab w:val="left" w:pos="880"/>
          <w:tab w:val="right" w:leader="dot" w:pos="9016"/>
        </w:tabs>
        <w:rPr>
          <w:rFonts w:asciiTheme="minorHAnsi" w:eastAsiaTheme="minorEastAsia" w:hAnsiTheme="minorHAnsi"/>
          <w:noProof/>
          <w:kern w:val="2"/>
          <w:lang w:eastAsia="en-GB"/>
          <w14:ligatures w14:val="standardContextual"/>
        </w:rPr>
      </w:pPr>
      <w:hyperlink w:anchor="_Toc166073786" w:history="1">
        <w:r w:rsidR="00886ED6" w:rsidRPr="0068578A">
          <w:rPr>
            <w:rStyle w:val="Hyperlink"/>
            <w:noProof/>
          </w:rPr>
          <w:t>7.2</w:t>
        </w:r>
        <w:r w:rsidR="00886ED6">
          <w:rPr>
            <w:rFonts w:asciiTheme="minorHAnsi" w:eastAsiaTheme="minorEastAsia" w:hAnsiTheme="minorHAnsi"/>
            <w:noProof/>
            <w:kern w:val="2"/>
            <w:lang w:eastAsia="en-GB"/>
            <w14:ligatures w14:val="standardContextual"/>
          </w:rPr>
          <w:tab/>
        </w:r>
        <w:r w:rsidR="00886ED6" w:rsidRPr="0068578A">
          <w:rPr>
            <w:rStyle w:val="Hyperlink"/>
            <w:noProof/>
          </w:rPr>
          <w:t>Glossary</w:t>
        </w:r>
        <w:r w:rsidR="00886ED6">
          <w:rPr>
            <w:noProof/>
            <w:webHidden/>
          </w:rPr>
          <w:tab/>
        </w:r>
        <w:r w:rsidR="00886ED6">
          <w:rPr>
            <w:noProof/>
            <w:webHidden/>
          </w:rPr>
          <w:fldChar w:fldCharType="begin"/>
        </w:r>
        <w:r w:rsidR="00886ED6">
          <w:rPr>
            <w:noProof/>
            <w:webHidden/>
          </w:rPr>
          <w:instrText xml:space="preserve"> PAGEREF _Toc166073786 \h </w:instrText>
        </w:r>
        <w:r w:rsidR="00886ED6">
          <w:rPr>
            <w:noProof/>
            <w:webHidden/>
          </w:rPr>
        </w:r>
        <w:r w:rsidR="00886ED6">
          <w:rPr>
            <w:noProof/>
            <w:webHidden/>
          </w:rPr>
          <w:fldChar w:fldCharType="separate"/>
        </w:r>
        <w:r w:rsidR="005F7B06">
          <w:rPr>
            <w:noProof/>
            <w:webHidden/>
          </w:rPr>
          <w:t>23</w:t>
        </w:r>
        <w:r w:rsidR="00886ED6">
          <w:rPr>
            <w:noProof/>
            <w:webHidden/>
          </w:rPr>
          <w:fldChar w:fldCharType="end"/>
        </w:r>
      </w:hyperlink>
    </w:p>
    <w:p w14:paraId="76639894" w14:textId="77777777" w:rsidR="00886ED6" w:rsidRDefault="00000000">
      <w:pPr>
        <w:pStyle w:val="TOC3"/>
        <w:tabs>
          <w:tab w:val="left" w:pos="1320"/>
          <w:tab w:val="right" w:leader="dot" w:pos="9016"/>
        </w:tabs>
        <w:rPr>
          <w:rFonts w:asciiTheme="minorHAnsi" w:eastAsiaTheme="minorEastAsia" w:hAnsiTheme="minorHAnsi"/>
          <w:noProof/>
          <w:kern w:val="2"/>
          <w:lang w:eastAsia="en-GB"/>
          <w14:ligatures w14:val="standardContextual"/>
        </w:rPr>
      </w:pPr>
      <w:hyperlink w:anchor="_Toc166073787" w:history="1">
        <w:r w:rsidR="00886ED6" w:rsidRPr="0068578A">
          <w:rPr>
            <w:rStyle w:val="Hyperlink"/>
            <w:noProof/>
          </w:rPr>
          <w:t>7.2.1</w:t>
        </w:r>
        <w:r w:rsidR="00886ED6">
          <w:rPr>
            <w:rFonts w:asciiTheme="minorHAnsi" w:eastAsiaTheme="minorEastAsia" w:hAnsiTheme="minorHAnsi"/>
            <w:noProof/>
            <w:kern w:val="2"/>
            <w:lang w:eastAsia="en-GB"/>
            <w14:ligatures w14:val="standardContextual"/>
          </w:rPr>
          <w:tab/>
        </w:r>
        <w:r w:rsidR="00886ED6" w:rsidRPr="0068578A">
          <w:rPr>
            <w:rStyle w:val="Hyperlink"/>
            <w:noProof/>
          </w:rPr>
          <w:t>Definitions and explanations – direct costs</w:t>
        </w:r>
        <w:r w:rsidR="00886ED6">
          <w:rPr>
            <w:noProof/>
            <w:webHidden/>
          </w:rPr>
          <w:tab/>
        </w:r>
        <w:r w:rsidR="00886ED6">
          <w:rPr>
            <w:noProof/>
            <w:webHidden/>
          </w:rPr>
          <w:fldChar w:fldCharType="begin"/>
        </w:r>
        <w:r w:rsidR="00886ED6">
          <w:rPr>
            <w:noProof/>
            <w:webHidden/>
          </w:rPr>
          <w:instrText xml:space="preserve"> PAGEREF _Toc166073787 \h </w:instrText>
        </w:r>
        <w:r w:rsidR="00886ED6">
          <w:rPr>
            <w:noProof/>
            <w:webHidden/>
          </w:rPr>
        </w:r>
        <w:r w:rsidR="00886ED6">
          <w:rPr>
            <w:noProof/>
            <w:webHidden/>
          </w:rPr>
          <w:fldChar w:fldCharType="separate"/>
        </w:r>
        <w:r w:rsidR="005F7B06">
          <w:rPr>
            <w:noProof/>
            <w:webHidden/>
          </w:rPr>
          <w:t>23</w:t>
        </w:r>
        <w:r w:rsidR="00886ED6">
          <w:rPr>
            <w:noProof/>
            <w:webHidden/>
          </w:rPr>
          <w:fldChar w:fldCharType="end"/>
        </w:r>
      </w:hyperlink>
    </w:p>
    <w:p w14:paraId="65E14FB6" w14:textId="77777777" w:rsidR="00886ED6" w:rsidRDefault="00000000">
      <w:pPr>
        <w:pStyle w:val="TOC3"/>
        <w:tabs>
          <w:tab w:val="left" w:pos="1320"/>
          <w:tab w:val="right" w:leader="dot" w:pos="9016"/>
        </w:tabs>
        <w:rPr>
          <w:rFonts w:asciiTheme="minorHAnsi" w:eastAsiaTheme="minorEastAsia" w:hAnsiTheme="minorHAnsi"/>
          <w:noProof/>
          <w:kern w:val="2"/>
          <w:lang w:eastAsia="en-GB"/>
          <w14:ligatures w14:val="standardContextual"/>
        </w:rPr>
      </w:pPr>
      <w:hyperlink w:anchor="_Toc166073788" w:history="1">
        <w:r w:rsidR="00886ED6" w:rsidRPr="0068578A">
          <w:rPr>
            <w:rStyle w:val="Hyperlink"/>
            <w:noProof/>
          </w:rPr>
          <w:t>7.2.2</w:t>
        </w:r>
        <w:r w:rsidR="00886ED6">
          <w:rPr>
            <w:rFonts w:asciiTheme="minorHAnsi" w:eastAsiaTheme="minorEastAsia" w:hAnsiTheme="minorHAnsi"/>
            <w:noProof/>
            <w:kern w:val="2"/>
            <w:lang w:eastAsia="en-GB"/>
            <w14:ligatures w14:val="standardContextual"/>
          </w:rPr>
          <w:tab/>
        </w:r>
        <w:r w:rsidR="00886ED6" w:rsidRPr="0068578A">
          <w:rPr>
            <w:rStyle w:val="Hyperlink"/>
            <w:noProof/>
          </w:rPr>
          <w:t>Definitions and explanations – Indirect costs</w:t>
        </w:r>
        <w:r w:rsidR="00886ED6">
          <w:rPr>
            <w:noProof/>
            <w:webHidden/>
          </w:rPr>
          <w:tab/>
        </w:r>
        <w:r w:rsidR="00886ED6">
          <w:rPr>
            <w:noProof/>
            <w:webHidden/>
          </w:rPr>
          <w:fldChar w:fldCharType="begin"/>
        </w:r>
        <w:r w:rsidR="00886ED6">
          <w:rPr>
            <w:noProof/>
            <w:webHidden/>
          </w:rPr>
          <w:instrText xml:space="preserve"> PAGEREF _Toc166073788 \h </w:instrText>
        </w:r>
        <w:r w:rsidR="00886ED6">
          <w:rPr>
            <w:noProof/>
            <w:webHidden/>
          </w:rPr>
        </w:r>
        <w:r w:rsidR="00886ED6">
          <w:rPr>
            <w:noProof/>
            <w:webHidden/>
          </w:rPr>
          <w:fldChar w:fldCharType="separate"/>
        </w:r>
        <w:r w:rsidR="005F7B06">
          <w:rPr>
            <w:noProof/>
            <w:webHidden/>
          </w:rPr>
          <w:t>24</w:t>
        </w:r>
        <w:r w:rsidR="00886ED6">
          <w:rPr>
            <w:noProof/>
            <w:webHidden/>
          </w:rPr>
          <w:fldChar w:fldCharType="end"/>
        </w:r>
      </w:hyperlink>
    </w:p>
    <w:p w14:paraId="0FBBF354" w14:textId="77777777" w:rsidR="00791715" w:rsidRPr="00791715" w:rsidRDefault="00791715" w:rsidP="00791715">
      <w:pPr>
        <w:rPr>
          <w:rFonts w:cs="Arial"/>
          <w:b/>
          <w:bCs/>
          <w:color w:val="66BBCA"/>
        </w:rPr>
      </w:pPr>
      <w:r>
        <w:rPr>
          <w:rFonts w:cs="Arial"/>
          <w:b/>
          <w:bCs/>
          <w:color w:val="66BBCA"/>
        </w:rPr>
        <w:fldChar w:fldCharType="end"/>
      </w:r>
    </w:p>
    <w:p w14:paraId="38729ACF" w14:textId="77777777" w:rsidR="00AA1420" w:rsidRPr="000506AC" w:rsidRDefault="00AA1420">
      <w:pPr>
        <w:rPr>
          <w:rFonts w:cs="Arial"/>
          <w:b/>
          <w:bCs/>
          <w:color w:val="66BBCA"/>
        </w:rPr>
      </w:pPr>
      <w:r w:rsidRPr="000506AC">
        <w:rPr>
          <w:rFonts w:cs="Arial"/>
          <w:b/>
          <w:bCs/>
          <w:color w:val="66BBCA"/>
        </w:rPr>
        <w:br w:type="page"/>
      </w:r>
    </w:p>
    <w:p w14:paraId="1FA9C102" w14:textId="77777777" w:rsidR="00E941F8" w:rsidRDefault="000506AC" w:rsidP="00DD0BFD">
      <w:pPr>
        <w:pStyle w:val="Heading1"/>
      </w:pPr>
      <w:bookmarkStart w:id="0" w:name="_Toc166073770"/>
      <w:r w:rsidRPr="00D57F77">
        <w:t>Executive</w:t>
      </w:r>
      <w:r w:rsidRPr="000506AC">
        <w:t xml:space="preserve"> Summary</w:t>
      </w:r>
      <w:bookmarkEnd w:id="0"/>
    </w:p>
    <w:p w14:paraId="4E5E19FB" w14:textId="77777777" w:rsidR="00F7618D" w:rsidRDefault="00B07F81" w:rsidP="00886ED6">
      <w:pPr>
        <w:jc w:val="both"/>
      </w:pPr>
      <w:r>
        <w:t>Deliverable 6.1 presents a database of direct and indirect costs</w:t>
      </w:r>
      <w:r w:rsidR="00363831">
        <w:t xml:space="preserve"> and benefits</w:t>
      </w:r>
      <w:r>
        <w:t xml:space="preserve"> of </w:t>
      </w:r>
      <w:r w:rsidR="00282C95">
        <w:t xml:space="preserve">sustainability certification for the bioeconomy. This report provides an overview of the methodology applied to collect </w:t>
      </w:r>
      <w:r w:rsidR="00363831">
        <w:t xml:space="preserve">data on </w:t>
      </w:r>
      <w:r w:rsidR="00282C95">
        <w:t>direct and indirect cost</w:t>
      </w:r>
      <w:r w:rsidR="00363831">
        <w:t xml:space="preserve">s and </w:t>
      </w:r>
      <w:proofErr w:type="gramStart"/>
      <w:r w:rsidR="00363831">
        <w:t>benefits</w:t>
      </w:r>
      <w:r w:rsidR="00173DB9">
        <w:t>,</w:t>
      </w:r>
      <w:r w:rsidR="00260693">
        <w:t xml:space="preserve"> and</w:t>
      </w:r>
      <w:proofErr w:type="gramEnd"/>
      <w:r w:rsidR="00260693">
        <w:t xml:space="preserve"> summarizes key findings. </w:t>
      </w:r>
      <w:r w:rsidR="00085FE1">
        <w:t>This report</w:t>
      </w:r>
      <w:r w:rsidR="00260693">
        <w:t xml:space="preserve"> accompanies the actual database</w:t>
      </w:r>
      <w:r w:rsidR="00085FE1">
        <w:t>,</w:t>
      </w:r>
      <w:r w:rsidR="00260693">
        <w:t xml:space="preserve"> which is available </w:t>
      </w:r>
      <w:r w:rsidR="00393EC2">
        <w:t xml:space="preserve">in </w:t>
      </w:r>
      <w:hyperlink w:anchor="_Database" w:history="1">
        <w:r w:rsidR="00393EC2" w:rsidRPr="00393EC2">
          <w:rPr>
            <w:rStyle w:val="Hyperlink"/>
          </w:rPr>
          <w:t>the Appendix</w:t>
        </w:r>
      </w:hyperlink>
      <w:r w:rsidR="00085FE1">
        <w:t>.</w:t>
      </w:r>
    </w:p>
    <w:p w14:paraId="0B178B21" w14:textId="77777777" w:rsidR="00D35232" w:rsidRPr="00D35232" w:rsidRDefault="00D35232" w:rsidP="00886ED6">
      <w:pPr>
        <w:jc w:val="both"/>
        <w:rPr>
          <w:b/>
          <w:bCs/>
        </w:rPr>
      </w:pPr>
      <w:r w:rsidRPr="00D35232">
        <w:rPr>
          <w:b/>
          <w:bCs/>
        </w:rPr>
        <w:t>Direct costs of certification</w:t>
      </w:r>
    </w:p>
    <w:p w14:paraId="21411568" w14:textId="77777777" w:rsidR="00342C86" w:rsidRDefault="00173DB9" w:rsidP="00886ED6">
      <w:pPr>
        <w:jc w:val="both"/>
      </w:pPr>
      <w:r>
        <w:t>T</w:t>
      </w:r>
      <w:r w:rsidR="00342C86" w:rsidRPr="00342C86">
        <w:t>he collection of the direct cost data</w:t>
      </w:r>
      <w:r w:rsidR="00B93721">
        <w:t xml:space="preserve"> (Task 6.1)</w:t>
      </w:r>
      <w:r w:rsidR="00342C86" w:rsidRPr="00342C86">
        <w:t xml:space="preserve"> revealed several challenges in obtaining the data. </w:t>
      </w:r>
      <w:r w:rsidR="00384BEB">
        <w:t>The main challenge was</w:t>
      </w:r>
      <w:r w:rsidR="00B43388">
        <w:t xml:space="preserve"> </w:t>
      </w:r>
      <w:proofErr w:type="gramStart"/>
      <w:r w:rsidR="00B43388">
        <w:t>due to the</w:t>
      </w:r>
      <w:r w:rsidR="00DC6478">
        <w:t xml:space="preserve"> fact that</w:t>
      </w:r>
      <w:proofErr w:type="gramEnd"/>
      <w:r w:rsidR="00342C86" w:rsidRPr="00342C86">
        <w:t xml:space="preserve"> the cost items definitions that the various </w:t>
      </w:r>
      <w:r w:rsidR="00B43388">
        <w:t>certification schemes and labels (C</w:t>
      </w:r>
      <w:r w:rsidR="00342C86" w:rsidRPr="00342C86">
        <w:t>SLs</w:t>
      </w:r>
      <w:r w:rsidR="00B43388">
        <w:t>)</w:t>
      </w:r>
      <w:r w:rsidR="00342C86" w:rsidRPr="00342C86">
        <w:t xml:space="preserve"> operate wit</w:t>
      </w:r>
      <w:r w:rsidR="00DC6478">
        <w:t>h</w:t>
      </w:r>
      <w:r w:rsidR="00342C86" w:rsidRPr="00342C86">
        <w:t xml:space="preserve"> are not aligned across. Likewise, the </w:t>
      </w:r>
      <w:r w:rsidR="00CB359A">
        <w:t>c</w:t>
      </w:r>
      <w:r w:rsidR="00342C86" w:rsidRPr="00342C86">
        <w:t xml:space="preserve">ertification </w:t>
      </w:r>
      <w:r w:rsidR="00CB359A">
        <w:t>b</w:t>
      </w:r>
      <w:r w:rsidR="00342C86" w:rsidRPr="00342C86">
        <w:t xml:space="preserve">odies (CBs) </w:t>
      </w:r>
      <w:r w:rsidR="00FD2317">
        <w:t xml:space="preserve">are </w:t>
      </w:r>
      <w:r w:rsidR="00342C86" w:rsidRPr="00342C86">
        <w:t>also using separate accounting procedures.</w:t>
      </w:r>
      <w:r w:rsidR="00CB359A">
        <w:t xml:space="preserve"> </w:t>
      </w:r>
      <w:r w:rsidR="00342C86" w:rsidRPr="00342C86">
        <w:t>It was</w:t>
      </w:r>
      <w:r w:rsidR="00CB359A">
        <w:t>,</w:t>
      </w:r>
      <w:r w:rsidR="00342C86" w:rsidRPr="00342C86">
        <w:t xml:space="preserve"> however</w:t>
      </w:r>
      <w:r w:rsidR="00CB359A">
        <w:t>,</w:t>
      </w:r>
      <w:r w:rsidR="00342C86" w:rsidRPr="00342C86">
        <w:t xml:space="preserve"> possible to identify cost categories such as application fees, auditing costs, and administrative expenses. </w:t>
      </w:r>
    </w:p>
    <w:p w14:paraId="58DEF4E5" w14:textId="77777777" w:rsidR="00196C7C" w:rsidRDefault="00342C86" w:rsidP="00886ED6">
      <w:pPr>
        <w:jc w:val="both"/>
      </w:pPr>
      <w:r w:rsidRPr="00342C86">
        <w:t>By establishing a standardi</w:t>
      </w:r>
      <w:r w:rsidR="006C09D3">
        <w:t>s</w:t>
      </w:r>
      <w:r w:rsidRPr="00342C86">
        <w:t xml:space="preserve">ed framework for cost categorisation, it becomes easier to compare and collect direct cost data from different schemes. This mapping exercise resulted in providing an option to compare the nuances of cost structures within different schemes and inform efforts to streamline and harmonise </w:t>
      </w:r>
      <w:r w:rsidR="00FD3152">
        <w:t>them</w:t>
      </w:r>
      <w:r w:rsidRPr="00342C86">
        <w:t xml:space="preserve">. </w:t>
      </w:r>
      <w:r>
        <w:t>T</w:t>
      </w:r>
      <w:r w:rsidRPr="00342C86">
        <w:t>hrough this, the results can facilitate a more structured approach to collecting direct cost data across certification schemes, ultimately enhancing transparency, comparability, and efficiency in cost management within the</w:t>
      </w:r>
      <w:r w:rsidR="00391F4D">
        <w:t xml:space="preserve"> certification</w:t>
      </w:r>
      <w:r w:rsidRPr="00342C86">
        <w:t xml:space="preserve"> industry.</w:t>
      </w:r>
    </w:p>
    <w:p w14:paraId="7C65E548" w14:textId="77777777" w:rsidR="00D35232" w:rsidRPr="0032110B" w:rsidRDefault="00D35232" w:rsidP="00D25E7F">
      <w:pPr>
        <w:jc w:val="both"/>
        <w:rPr>
          <w:b/>
          <w:bCs/>
        </w:rPr>
      </w:pPr>
      <w:r w:rsidRPr="0032110B">
        <w:rPr>
          <w:b/>
          <w:bCs/>
        </w:rPr>
        <w:t xml:space="preserve">Indirect costs </w:t>
      </w:r>
      <w:r w:rsidR="00371AB8" w:rsidRPr="0032110B">
        <w:rPr>
          <w:b/>
          <w:bCs/>
        </w:rPr>
        <w:t xml:space="preserve">and benefits </w:t>
      </w:r>
      <w:r w:rsidR="00371AB8">
        <w:rPr>
          <w:b/>
          <w:bCs/>
        </w:rPr>
        <w:t xml:space="preserve">of </w:t>
      </w:r>
      <w:r w:rsidRPr="0032110B">
        <w:rPr>
          <w:b/>
          <w:bCs/>
        </w:rPr>
        <w:t xml:space="preserve">certification </w:t>
      </w:r>
    </w:p>
    <w:p w14:paraId="6C19F12A" w14:textId="77777777" w:rsidR="009B351B" w:rsidRPr="00E333FF" w:rsidRDefault="00BF169F" w:rsidP="00D25E7F">
      <w:pPr>
        <w:jc w:val="both"/>
      </w:pPr>
      <w:r>
        <w:t xml:space="preserve">As for </w:t>
      </w:r>
      <w:r w:rsidR="00B93721">
        <w:t>the indirect costs</w:t>
      </w:r>
      <w:r w:rsidR="00371AB8">
        <w:t xml:space="preserve"> and benefits</w:t>
      </w:r>
      <w:r w:rsidR="00B93721">
        <w:t xml:space="preserve"> (Task 6.2)</w:t>
      </w:r>
      <w:r>
        <w:t>, t</w:t>
      </w:r>
      <w:r w:rsidR="009B351B">
        <w:t xml:space="preserve">he findings from the analysis of scientific literature indicate that </w:t>
      </w:r>
      <w:proofErr w:type="gramStart"/>
      <w:r w:rsidR="009B351B">
        <w:t>overall</w:t>
      </w:r>
      <w:proofErr w:type="gramEnd"/>
      <w:r w:rsidR="009B351B">
        <w:t xml:space="preserve"> the economic impacts of certification </w:t>
      </w:r>
      <w:r w:rsidR="00AA100C">
        <w:t xml:space="preserve">are investigated more than the social ones. Additionally, literature mainly focuses on feedstock producers and less on the rest of the supply chains. </w:t>
      </w:r>
      <w:r w:rsidR="00DD0BFD">
        <w:t>According to literature, c</w:t>
      </w:r>
      <w:r w:rsidR="009B351B" w:rsidRPr="00E333FF">
        <w:t xml:space="preserve">ertification typically has positive effects on certified farms or companies, even though it often leads to higher costs. </w:t>
      </w:r>
      <w:r w:rsidR="00DD0BFD">
        <w:t xml:space="preserve">However, </w:t>
      </w:r>
      <w:r w:rsidR="009B351B" w:rsidRPr="00E333FF">
        <w:t>some entities, especially smallholders and businesses in low-income countries, experience no or negative impacts due to high costs and challenges in meeting certification requirements.</w:t>
      </w:r>
    </w:p>
    <w:p w14:paraId="3A45DBC2" w14:textId="77777777" w:rsidR="00DD0BFD" w:rsidRDefault="009B351B" w:rsidP="00D25E7F">
      <w:pPr>
        <w:jc w:val="both"/>
      </w:pPr>
      <w:r w:rsidRPr="00E333FF">
        <w:t xml:space="preserve">To support smallholders, financial assistance from external organizations and governments is essential. Certification scheme owners should provide tailored solutions for smallholders' challenges. </w:t>
      </w:r>
      <w:r w:rsidR="00CC1EEA" w:rsidRPr="004C34F3">
        <w:t>European</w:t>
      </w:r>
      <w:r w:rsidR="00CC1EEA">
        <w:t xml:space="preserve"> </w:t>
      </w:r>
      <w:r w:rsidR="004C119C">
        <w:t>p</w:t>
      </w:r>
      <w:r w:rsidRPr="00E333FF">
        <w:t>olicy</w:t>
      </w:r>
      <w:r w:rsidR="00241B5D">
        <w:t xml:space="preserve"> defining the role of certification in the bioeconomy and its detail</w:t>
      </w:r>
      <w:r w:rsidR="004C119C">
        <w:t>ed</w:t>
      </w:r>
      <w:r w:rsidR="00241B5D">
        <w:t xml:space="preserve"> requirement</w:t>
      </w:r>
      <w:r w:rsidR="004C119C">
        <w:t xml:space="preserve">s for certification needs to </w:t>
      </w:r>
      <w:r w:rsidR="00CC1EEA">
        <w:t xml:space="preserve">consider </w:t>
      </w:r>
      <w:r w:rsidRPr="00E333FF">
        <w:t>mitigat</w:t>
      </w:r>
      <w:r w:rsidR="00241B5D">
        <w:t>ing</w:t>
      </w:r>
      <w:r w:rsidRPr="00E333FF">
        <w:t xml:space="preserve"> negative impacts on smallholders and adapt to different contexts to protect local communities.</w:t>
      </w:r>
    </w:p>
    <w:p w14:paraId="250C72ED" w14:textId="77777777" w:rsidR="009B351B" w:rsidRPr="00E333FF" w:rsidRDefault="00DD0BFD" w:rsidP="00D25E7F">
      <w:pPr>
        <w:jc w:val="both"/>
      </w:pPr>
      <w:r w:rsidRPr="00E333FF">
        <w:t xml:space="preserve">The social impacts of certification, such as </w:t>
      </w:r>
      <w:r>
        <w:t>labo</w:t>
      </w:r>
      <w:r w:rsidR="672BF028">
        <w:t>u</w:t>
      </w:r>
      <w:r>
        <w:t>r</w:t>
      </w:r>
      <w:r w:rsidRPr="00E333FF">
        <w:t xml:space="preserve"> conditions and access to healthcare and education, are more mixed and less studied across the supply chain. Moreover, different studies measure social impacts in varying ways, making comparisons </w:t>
      </w:r>
      <w:r w:rsidR="00AC39CA">
        <w:t xml:space="preserve">across studies </w:t>
      </w:r>
      <w:r w:rsidRPr="00E333FF">
        <w:t>difficult.</w:t>
      </w:r>
      <w:r w:rsidR="00CB39EE">
        <w:t xml:space="preserve"> </w:t>
      </w:r>
      <w:r w:rsidR="009B351B" w:rsidRPr="00E333FF">
        <w:t>Future policies</w:t>
      </w:r>
      <w:r w:rsidR="000C5183">
        <w:t xml:space="preserve"> related to certification</w:t>
      </w:r>
      <w:r w:rsidR="009B351B" w:rsidRPr="00E333FF">
        <w:t xml:space="preserve"> should also give more attention to social sustainability, as current regulations focus mainly on environmental and economic aspects, neglecting social indicators.</w:t>
      </w:r>
    </w:p>
    <w:p w14:paraId="69A1B294" w14:textId="77777777" w:rsidR="009B351B" w:rsidRDefault="000F5B54" w:rsidP="00886ED6">
      <w:pPr>
        <w:jc w:val="both"/>
      </w:pPr>
      <w:r>
        <w:t xml:space="preserve">Overall, additional research should be conducted on the </w:t>
      </w:r>
      <w:r w:rsidR="000C5183">
        <w:t xml:space="preserve">direct and indirect </w:t>
      </w:r>
      <w:r w:rsidR="00D25E7F">
        <w:t xml:space="preserve">costs and benefits </w:t>
      </w:r>
      <w:r w:rsidR="00B64D91">
        <w:t>of certification,</w:t>
      </w:r>
      <w:r>
        <w:t xml:space="preserve"> and </w:t>
      </w:r>
      <w:r w:rsidR="005E6BDF">
        <w:t xml:space="preserve">the data should be collected and analysed </w:t>
      </w:r>
      <w:r w:rsidR="00CB39EE">
        <w:t>in a more harmonised way across different studies.</w:t>
      </w:r>
      <w:r w:rsidR="008A6A14">
        <w:t xml:space="preserve"> </w:t>
      </w:r>
      <w:r w:rsidR="00741E2E">
        <w:t>Key</w:t>
      </w:r>
      <w:r w:rsidR="00FC7BF5">
        <w:t xml:space="preserve"> aspect</w:t>
      </w:r>
      <w:r w:rsidR="00741E2E">
        <w:t>s</w:t>
      </w:r>
      <w:r w:rsidR="00FC7BF5">
        <w:t xml:space="preserve"> to harmonise </w:t>
      </w:r>
      <w:r w:rsidR="00BD1030">
        <w:t xml:space="preserve">are the variables used to measure the </w:t>
      </w:r>
      <w:r w:rsidR="00741E2E">
        <w:t>impacts of certification</w:t>
      </w:r>
      <w:r w:rsidR="009B0CAA">
        <w:t xml:space="preserve">, as currently they are measured in different ways in different studies. </w:t>
      </w:r>
      <w:r w:rsidR="006A7D3E">
        <w:t xml:space="preserve">For instance, </w:t>
      </w:r>
      <w:r w:rsidR="008B4D0B">
        <w:t xml:space="preserve">the impact of certification on </w:t>
      </w:r>
      <w:r w:rsidR="00CF7AEA" w:rsidRPr="00CF7AEA">
        <w:t>education was measured by different indicators, e.g. years of schooling, child school attendance</w:t>
      </w:r>
      <w:r w:rsidR="008B4D0B">
        <w:t xml:space="preserve">, and </w:t>
      </w:r>
      <w:r w:rsidR="00CF7AEA" w:rsidRPr="00CF7AEA">
        <w:t xml:space="preserve">number of education facilities built in the certified </w:t>
      </w:r>
      <w:r w:rsidR="008B4D0B">
        <w:t>area</w:t>
      </w:r>
      <w:r w:rsidR="004E6C56">
        <w:t xml:space="preserve">. </w:t>
      </w:r>
      <w:r w:rsidR="00215D7F">
        <w:t>Increasing</w:t>
      </w:r>
      <w:r w:rsidR="00F5135C">
        <w:t xml:space="preserve"> </w:t>
      </w:r>
      <w:r w:rsidR="00215D7F">
        <w:t>harmonisation</w:t>
      </w:r>
      <w:r w:rsidR="00CB39EE">
        <w:t xml:space="preserve"> would facilitate comparisons </w:t>
      </w:r>
      <w:r w:rsidR="00B64D91">
        <w:t xml:space="preserve">and allow to draw broader conclusions on the overall profitability of </w:t>
      </w:r>
      <w:proofErr w:type="spellStart"/>
      <w:r w:rsidR="00B64D91">
        <w:t>susta</w:t>
      </w:r>
      <w:r w:rsidR="4D9EB636">
        <w:t>i</w:t>
      </w:r>
      <w:r w:rsidR="00B64D91">
        <w:t>nabiltiy</w:t>
      </w:r>
      <w:proofErr w:type="spellEnd"/>
      <w:r w:rsidR="00B64D91">
        <w:t xml:space="preserve"> certification </w:t>
      </w:r>
      <w:r w:rsidR="00D25E7F">
        <w:t xml:space="preserve">and the implications for entities in different contexts. </w:t>
      </w:r>
    </w:p>
    <w:p w14:paraId="7B4CD8B7" w14:textId="77777777" w:rsidR="00684884" w:rsidRPr="00D57F77" w:rsidRDefault="00684884" w:rsidP="00DD0BFD">
      <w:pPr>
        <w:pStyle w:val="Heading1"/>
      </w:pPr>
      <w:bookmarkStart w:id="1" w:name="_Toc166064549"/>
      <w:bookmarkStart w:id="2" w:name="_Toc166064588"/>
      <w:bookmarkStart w:id="3" w:name="_Toc166073771"/>
      <w:bookmarkEnd w:id="1"/>
      <w:bookmarkEnd w:id="2"/>
      <w:r w:rsidRPr="00D57F77">
        <w:t>Introduction</w:t>
      </w:r>
      <w:bookmarkEnd w:id="3"/>
    </w:p>
    <w:p w14:paraId="4E22D579" w14:textId="77777777" w:rsidR="0067750F" w:rsidRDefault="0067750F" w:rsidP="0067750F">
      <w:pPr>
        <w:jc w:val="both"/>
      </w:pPr>
      <w:r>
        <w:t>Sustainability certification schemes and labels (CSLs) are guidelines that define a set of environmental, economic, and/or social requirements to enhance the sustainability of products or services (Edwards et al., 2012). Although CSLs are often voluntary market-based tools, their adoption as co-regulation instruments by governments across different sectors has been increasing over the past years (Gaebler, 2014). They already play a key role as a co-regulation instrument in bio-economy policies of the European Union (EU). For instance, the Renewable Energy Directive (RED, RED II, RED III) has set sustainability requirements for biofuels, bioliquids, and biomass for energy. In this context, certification schemes are used as instruments to prove compliance with those sustainability requirements (STAR-</w:t>
      </w:r>
      <w:proofErr w:type="spellStart"/>
      <w:r>
        <w:t>ProBio</w:t>
      </w:r>
      <w:proofErr w:type="spellEnd"/>
      <w:r>
        <w:t xml:space="preserve">, 2020). Similarly, the EU Deforestation Regulation (EUDR) Regulation (European Parliament, Council of the European Union, 2023), which applies to soy, beef, palm oil, wood, cocoa, coffee, </w:t>
      </w:r>
      <w:proofErr w:type="gramStart"/>
      <w:r>
        <w:t>rubber</w:t>
      </w:r>
      <w:proofErr w:type="gramEnd"/>
      <w:r>
        <w:t xml:space="preserve"> and derivative products, prohibits imports and exports of products associated with deforestation and forest degradation. The regulation enables certification to be used for risk assessment and mitigation processes. </w:t>
      </w:r>
    </w:p>
    <w:p w14:paraId="29645980" w14:textId="77777777" w:rsidR="00077352" w:rsidRDefault="0067750F" w:rsidP="0067750F">
      <w:pPr>
        <w:jc w:val="both"/>
      </w:pPr>
      <w:r>
        <w:t xml:space="preserve">For the bioeconomy, the importance of ensuring sustainability of feedstocks and biobased products is recognised by producers, consumers, and policymakers alike, underscoring the necessity of comprehensively understanding the environmental, social, and economic implications associated with their production (Falcone and Imbert, 2019). Sustainability certification can be used to monitor and improve these aspects and communicate </w:t>
      </w:r>
      <w:r w:rsidR="00664434">
        <w:t xml:space="preserve">the sustainability of biobased products </w:t>
      </w:r>
      <w:r>
        <w:t xml:space="preserve">to consumers. To do so, it is important to ensure that certification both improves the sustainability of products and is economically feasible for the companies that want to get certified or include certified products in their supply chains. </w:t>
      </w:r>
    </w:p>
    <w:p w14:paraId="09CA557A" w14:textId="77777777" w:rsidR="006956E5" w:rsidRDefault="0067750F" w:rsidP="0067750F">
      <w:pPr>
        <w:jc w:val="both"/>
      </w:pPr>
      <w:r>
        <w:t xml:space="preserve">Economic feasibility of CSLs is an important aspect influencing their uptake by companies. This is because certification needs to be economically profitable for companies to be competitive on the market. Economic feasibility is determined by the trade-off between the costs and benefits of getting certified. The costs and cost structure vary across different CSLs, but it generally consists of </w:t>
      </w:r>
      <w:r w:rsidRPr="00077352">
        <w:rPr>
          <w:b/>
          <w:bCs/>
        </w:rPr>
        <w:t>direct costs</w:t>
      </w:r>
      <w:r>
        <w:t xml:space="preserve"> (certification fees, administrative fees, cost of audits) and </w:t>
      </w:r>
      <w:r w:rsidRPr="00077352">
        <w:rPr>
          <w:b/>
          <w:bCs/>
        </w:rPr>
        <w:t>indirect costs</w:t>
      </w:r>
      <w:r>
        <w:t xml:space="preserve"> (costs to upgrade the management and production system to meet certification requirements) (Durst et al., 2006; </w:t>
      </w:r>
      <w:proofErr w:type="spellStart"/>
      <w:r>
        <w:t>Midderndorp</w:t>
      </w:r>
      <w:proofErr w:type="spellEnd"/>
      <w:r>
        <w:t xml:space="preserve"> et al., 2018; So et al., 2022). As a result of certification, </w:t>
      </w:r>
      <w:r w:rsidRPr="00E83B41">
        <w:rPr>
          <w:b/>
          <w:bCs/>
        </w:rPr>
        <w:t>environmental, social, and economic benefits</w:t>
      </w:r>
      <w:r>
        <w:t xml:space="preserve"> are expected. For example, the environmental benefits include better soil quality, reduced deforestation, increased </w:t>
      </w:r>
      <w:proofErr w:type="gramStart"/>
      <w:r>
        <w:t>tree</w:t>
      </w:r>
      <w:proofErr w:type="gramEnd"/>
      <w:r>
        <w:t xml:space="preserve"> and animal diversity (</w:t>
      </w:r>
      <w:proofErr w:type="spellStart"/>
      <w:r>
        <w:t>Burivalova</w:t>
      </w:r>
      <w:proofErr w:type="spellEnd"/>
      <w:r>
        <w:t xml:space="preserve"> et al., 2017). The expected </w:t>
      </w:r>
      <w:r w:rsidRPr="00E83B41">
        <w:rPr>
          <w:b/>
          <w:bCs/>
        </w:rPr>
        <w:t>economic and social benefits</w:t>
      </w:r>
      <w:r>
        <w:t xml:space="preserve"> consist of price premiums, increased market access, better public image, improved working conditions, reduced inequalities, and more (Camilleri, 2022; Chen et al., 2010; So et al., 2022). These benefits must outweigh the costs for certification to be feasible for companies. However, the overall feasibility </w:t>
      </w:r>
      <w:proofErr w:type="gramStart"/>
      <w:r>
        <w:t>still remains</w:t>
      </w:r>
      <w:proofErr w:type="gramEnd"/>
      <w:r>
        <w:t xml:space="preserve"> unclear.</w:t>
      </w:r>
      <w:r w:rsidR="00271FA5">
        <w:t xml:space="preserve"> </w:t>
      </w:r>
    </w:p>
    <w:p w14:paraId="323DD1DC" w14:textId="77777777" w:rsidR="0006698E" w:rsidRDefault="0006698E" w:rsidP="0006698E">
      <w:pPr>
        <w:jc w:val="both"/>
      </w:pPr>
      <w:r>
        <w:t>For gaining a better understanding of the overall feasibility of sustainability certification, data is needed on the direct and indirect costs and benefits of sustainability certification. This data needs to be consistently collected, accounting for different conditions and certification setups. In the present deliverable, Deliverable 6.1, we present the direct and indirect costs and benefits data collected in H</w:t>
      </w:r>
      <w:r w:rsidR="0032110B">
        <w:t>ARMONITOR</w:t>
      </w:r>
      <w:r>
        <w:t>.</w:t>
      </w:r>
      <w:r w:rsidR="00B01187">
        <w:t xml:space="preserve"> The deliverable</w:t>
      </w:r>
      <w:r w:rsidR="00B01187">
        <w:rPr>
          <w:rFonts w:cs="Arial"/>
          <w:lang w:val="en-US" w:eastAsia="de-DE"/>
        </w:rPr>
        <w:t xml:space="preserve"> </w:t>
      </w:r>
      <w:r w:rsidR="00B01187">
        <w:rPr>
          <w:rFonts w:cs="Arial"/>
          <w:lang w:eastAsia="de-DE"/>
        </w:rPr>
        <w:t>is an online database of direct and indirect costs, accompanied by the present report.</w:t>
      </w:r>
    </w:p>
    <w:p w14:paraId="08A8A2AB" w14:textId="77777777" w:rsidR="00FD07C6" w:rsidRDefault="006F2CEC" w:rsidP="00597F7A">
      <w:pPr>
        <w:tabs>
          <w:tab w:val="num" w:pos="720"/>
        </w:tabs>
        <w:spacing w:line="276" w:lineRule="auto"/>
        <w:jc w:val="both"/>
        <w:rPr>
          <w:rFonts w:cs="Arial"/>
          <w:lang w:eastAsia="de-DE"/>
        </w:rPr>
      </w:pPr>
      <w:r>
        <w:t xml:space="preserve">This deliverable is </w:t>
      </w:r>
      <w:r w:rsidR="00971A41">
        <w:rPr>
          <w:rFonts w:cs="Arial"/>
          <w:lang w:val="en-US" w:eastAsia="de-DE"/>
        </w:rPr>
        <w:t xml:space="preserve">part of </w:t>
      </w:r>
      <w:r>
        <w:rPr>
          <w:rFonts w:cs="Arial"/>
          <w:lang w:val="en-US" w:eastAsia="de-DE"/>
        </w:rPr>
        <w:t xml:space="preserve">work package </w:t>
      </w:r>
      <w:r w:rsidR="001D2C81">
        <w:rPr>
          <w:rFonts w:cs="Arial"/>
          <w:lang w:val="en-US" w:eastAsia="de-DE"/>
        </w:rPr>
        <w:t>(</w:t>
      </w:r>
      <w:r w:rsidR="006956E5" w:rsidRPr="00BB7522">
        <w:rPr>
          <w:rFonts w:cs="Arial"/>
          <w:lang w:val="en-US" w:eastAsia="de-DE"/>
        </w:rPr>
        <w:t>WP</w:t>
      </w:r>
      <w:r w:rsidR="001D2C81">
        <w:rPr>
          <w:rFonts w:cs="Arial"/>
          <w:lang w:val="en-US" w:eastAsia="de-DE"/>
        </w:rPr>
        <w:t xml:space="preserve">) </w:t>
      </w:r>
      <w:r w:rsidR="006956E5" w:rsidRPr="00BB7522">
        <w:rPr>
          <w:rFonts w:cs="Arial"/>
          <w:lang w:val="en-US" w:eastAsia="de-DE"/>
        </w:rPr>
        <w:t>6</w:t>
      </w:r>
      <w:r w:rsidR="003B1CB2">
        <w:rPr>
          <w:rFonts w:cs="Arial"/>
          <w:lang w:val="en-US" w:eastAsia="de-DE"/>
        </w:rPr>
        <w:t>.</w:t>
      </w:r>
      <w:r w:rsidR="006556F4">
        <w:rPr>
          <w:rFonts w:cs="Arial"/>
          <w:lang w:val="en-US" w:eastAsia="de-DE"/>
        </w:rPr>
        <w:t xml:space="preserve"> </w:t>
      </w:r>
      <w:r w:rsidR="003B1CB2">
        <w:rPr>
          <w:rFonts w:cs="Arial"/>
          <w:lang w:val="en-US" w:eastAsia="de-DE"/>
        </w:rPr>
        <w:t>T</w:t>
      </w:r>
      <w:r w:rsidR="00342607">
        <w:rPr>
          <w:rFonts w:cs="Arial"/>
          <w:lang w:eastAsia="de-DE"/>
        </w:rPr>
        <w:t xml:space="preserve">he </w:t>
      </w:r>
      <w:r w:rsidR="006956E5" w:rsidRPr="00BB7522">
        <w:rPr>
          <w:rFonts w:cs="Arial"/>
          <w:lang w:eastAsia="de-DE"/>
        </w:rPr>
        <w:t>objective</w:t>
      </w:r>
      <w:r w:rsidR="00342607">
        <w:rPr>
          <w:rFonts w:cs="Arial"/>
          <w:lang w:eastAsia="de-DE"/>
        </w:rPr>
        <w:t xml:space="preserve"> of this WP</w:t>
      </w:r>
      <w:r w:rsidR="006956E5" w:rsidRPr="00BB7522">
        <w:rPr>
          <w:rFonts w:cs="Arial"/>
          <w:lang w:eastAsia="de-DE"/>
        </w:rPr>
        <w:t xml:space="preserve"> is to assess the direct and indirect costs and benefits of adopting </w:t>
      </w:r>
      <w:r w:rsidR="003B1CB2">
        <w:rPr>
          <w:rFonts w:cs="Arial"/>
          <w:lang w:val="en-US" w:eastAsia="de-DE"/>
        </w:rPr>
        <w:t xml:space="preserve">sustainability certification schemes and labels </w:t>
      </w:r>
      <w:r w:rsidR="006956E5" w:rsidRPr="00BB7522">
        <w:rPr>
          <w:rFonts w:cs="Arial"/>
          <w:lang w:eastAsia="de-DE"/>
        </w:rPr>
        <w:t>in selected industrial bio-based value chains</w:t>
      </w:r>
      <w:r w:rsidR="00597F7A">
        <w:rPr>
          <w:rFonts w:cs="Arial"/>
          <w:lang w:eastAsia="de-DE"/>
        </w:rPr>
        <w:t>,</w:t>
      </w:r>
      <w:r w:rsidR="006956E5" w:rsidRPr="00BB7522">
        <w:rPr>
          <w:rFonts w:cs="Arial"/>
          <w:lang w:eastAsia="de-DE"/>
        </w:rPr>
        <w:t xml:space="preserve"> and to identify governance options for increasing certified production.</w:t>
      </w:r>
      <w:r w:rsidR="001D2C81">
        <w:rPr>
          <w:rFonts w:cs="Arial"/>
          <w:lang w:eastAsia="de-DE"/>
        </w:rPr>
        <w:t xml:space="preserve"> </w:t>
      </w:r>
      <w:r w:rsidR="00B01187">
        <w:rPr>
          <w:rFonts w:cs="Arial"/>
          <w:lang w:eastAsia="de-DE"/>
        </w:rPr>
        <w:t xml:space="preserve">Deliverable 6.1 </w:t>
      </w:r>
      <w:r w:rsidR="00B01187">
        <w:rPr>
          <w:rFonts w:cs="Arial"/>
          <w:lang w:val="en-US" w:eastAsia="de-DE"/>
        </w:rPr>
        <w:t xml:space="preserve">combines data collected for </w:t>
      </w:r>
      <w:r w:rsidR="00B01187" w:rsidRPr="00BB7522">
        <w:rPr>
          <w:rFonts w:cs="Arial"/>
          <w:lang w:eastAsia="de-DE"/>
        </w:rPr>
        <w:t>Task 6.1</w:t>
      </w:r>
      <w:r w:rsidR="00B01187" w:rsidRPr="00BB7522">
        <w:rPr>
          <w:rFonts w:cs="Arial"/>
          <w:lang w:val="en-US" w:eastAsia="de-DE"/>
        </w:rPr>
        <w:t xml:space="preserve"> </w:t>
      </w:r>
      <w:r w:rsidR="00B01187">
        <w:rPr>
          <w:rFonts w:cs="Arial"/>
          <w:lang w:val="en-US" w:eastAsia="de-DE"/>
        </w:rPr>
        <w:t xml:space="preserve">and Task 6.2. </w:t>
      </w:r>
      <w:r w:rsidR="00597F7A">
        <w:rPr>
          <w:rFonts w:cs="Arial"/>
          <w:lang w:val="en-US" w:eastAsia="de-DE"/>
        </w:rPr>
        <w:t xml:space="preserve">Task 6.1 </w:t>
      </w:r>
      <w:r w:rsidR="006956E5" w:rsidRPr="00BB7522">
        <w:rPr>
          <w:rFonts w:cs="Arial"/>
          <w:lang w:val="en-US" w:eastAsia="de-DE"/>
        </w:rPr>
        <w:t xml:space="preserve">aims at </w:t>
      </w:r>
      <w:r w:rsidR="006956E5" w:rsidRPr="01FF54DE">
        <w:rPr>
          <w:rFonts w:cs="Arial"/>
          <w:lang w:eastAsia="de-DE"/>
        </w:rPr>
        <w:t>q</w:t>
      </w:r>
      <w:r w:rsidR="006956E5" w:rsidRPr="00BB7522">
        <w:rPr>
          <w:rFonts w:cs="Arial"/>
          <w:lang w:eastAsia="de-DE"/>
        </w:rPr>
        <w:t xml:space="preserve">uantifying the </w:t>
      </w:r>
      <w:r w:rsidR="006956E5" w:rsidRPr="01FF54DE">
        <w:rPr>
          <w:rFonts w:cs="Arial"/>
          <w:lang w:eastAsia="de-DE"/>
        </w:rPr>
        <w:t>d</w:t>
      </w:r>
      <w:r w:rsidR="006956E5" w:rsidRPr="00BB7522">
        <w:rPr>
          <w:rFonts w:cs="Arial"/>
          <w:lang w:eastAsia="de-DE"/>
        </w:rPr>
        <w:t xml:space="preserve">irect </w:t>
      </w:r>
      <w:r w:rsidR="006956E5" w:rsidRPr="00BB7522">
        <w:rPr>
          <w:rFonts w:cs="Arial"/>
          <w:lang w:val="en-US" w:eastAsia="de-DE"/>
        </w:rPr>
        <w:t>co</w:t>
      </w:r>
      <w:r w:rsidR="006956E5" w:rsidRPr="01FF54DE">
        <w:rPr>
          <w:rFonts w:cs="Arial"/>
          <w:lang w:val="en-US" w:eastAsia="de-DE"/>
        </w:rPr>
        <w:t>sts</w:t>
      </w:r>
      <w:r w:rsidR="006956E5" w:rsidRPr="00BB7522">
        <w:rPr>
          <w:rFonts w:cs="Arial"/>
          <w:lang w:eastAsia="de-DE"/>
        </w:rPr>
        <w:t xml:space="preserve"> of obtaining certification from selected CSLs</w:t>
      </w:r>
      <w:r w:rsidR="006956E5" w:rsidRPr="00BB7522">
        <w:rPr>
          <w:rFonts w:cs="Arial"/>
          <w:lang w:val="en-US" w:eastAsia="de-DE"/>
        </w:rPr>
        <w:t>. T</w:t>
      </w:r>
      <w:r w:rsidR="006956E5" w:rsidRPr="00BB7522">
        <w:rPr>
          <w:rFonts w:cs="Arial"/>
          <w:lang w:eastAsia="de-DE"/>
        </w:rPr>
        <w:t>ask 6.2</w:t>
      </w:r>
      <w:r w:rsidR="006956E5" w:rsidRPr="00BB7522">
        <w:rPr>
          <w:rFonts w:cs="Arial"/>
          <w:lang w:val="en-US" w:eastAsia="de-DE"/>
        </w:rPr>
        <w:t xml:space="preserve"> </w:t>
      </w:r>
      <w:r w:rsidR="006956E5" w:rsidRPr="00BB7522">
        <w:rPr>
          <w:rFonts w:cs="Arial"/>
          <w:lang w:eastAsia="de-DE"/>
        </w:rPr>
        <w:t>quantif</w:t>
      </w:r>
      <w:r w:rsidR="00597F7A">
        <w:rPr>
          <w:rFonts w:cs="Arial"/>
          <w:lang w:eastAsia="de-DE"/>
        </w:rPr>
        <w:t>ies</w:t>
      </w:r>
      <w:r w:rsidR="006956E5" w:rsidRPr="00BB7522">
        <w:rPr>
          <w:rFonts w:cs="Arial"/>
          <w:lang w:val="en-US" w:eastAsia="de-DE"/>
        </w:rPr>
        <w:t xml:space="preserve"> </w:t>
      </w:r>
      <w:r w:rsidR="006956E5" w:rsidRPr="01FF54DE">
        <w:rPr>
          <w:rFonts w:cs="Arial"/>
          <w:lang w:eastAsia="de-DE"/>
        </w:rPr>
        <w:t>c</w:t>
      </w:r>
      <w:r w:rsidR="006956E5" w:rsidRPr="00BB7522">
        <w:rPr>
          <w:rFonts w:cs="Arial"/>
          <w:lang w:eastAsia="de-DE"/>
        </w:rPr>
        <w:t xml:space="preserve">osts and </w:t>
      </w:r>
      <w:r w:rsidR="006956E5" w:rsidRPr="01FF54DE">
        <w:rPr>
          <w:rFonts w:cs="Arial"/>
          <w:lang w:eastAsia="de-DE"/>
        </w:rPr>
        <w:t>b</w:t>
      </w:r>
      <w:r w:rsidR="006956E5" w:rsidRPr="00BB7522">
        <w:rPr>
          <w:rFonts w:cs="Arial"/>
          <w:lang w:eastAsia="de-DE"/>
        </w:rPr>
        <w:t xml:space="preserve">enefits of </w:t>
      </w:r>
      <w:r w:rsidR="006956E5" w:rsidRPr="00BB7522">
        <w:rPr>
          <w:rFonts w:cs="Arial"/>
          <w:lang w:val="en-US" w:eastAsia="de-DE"/>
        </w:rPr>
        <w:t xml:space="preserve">meeting </w:t>
      </w:r>
      <w:r w:rsidR="006956E5" w:rsidRPr="01FF54DE">
        <w:rPr>
          <w:rFonts w:cs="Arial"/>
          <w:lang w:eastAsia="de-DE"/>
        </w:rPr>
        <w:t>s</w:t>
      </w:r>
      <w:r w:rsidR="006956E5" w:rsidRPr="00BB7522">
        <w:rPr>
          <w:rFonts w:cs="Arial"/>
          <w:lang w:eastAsia="de-DE"/>
        </w:rPr>
        <w:t xml:space="preserve">ustainability </w:t>
      </w:r>
      <w:r w:rsidR="006956E5" w:rsidRPr="01FF54DE">
        <w:rPr>
          <w:rFonts w:cs="Arial"/>
          <w:lang w:eastAsia="de-DE"/>
        </w:rPr>
        <w:t>c</w:t>
      </w:r>
      <w:r w:rsidR="006956E5" w:rsidRPr="00BB7522">
        <w:rPr>
          <w:rFonts w:cs="Arial"/>
          <w:lang w:eastAsia="de-DE"/>
        </w:rPr>
        <w:t>riteria</w:t>
      </w:r>
      <w:r w:rsidR="00B01187">
        <w:rPr>
          <w:rFonts w:cs="Arial"/>
          <w:lang w:eastAsia="de-DE"/>
        </w:rPr>
        <w:t>.</w:t>
      </w:r>
    </w:p>
    <w:p w14:paraId="48752102" w14:textId="77777777" w:rsidR="00F259C3" w:rsidRDefault="00FB5740" w:rsidP="00597F7A">
      <w:pPr>
        <w:tabs>
          <w:tab w:val="num" w:pos="720"/>
        </w:tabs>
        <w:spacing w:line="276" w:lineRule="auto"/>
        <w:jc w:val="both"/>
        <w:rPr>
          <w:rFonts w:cs="Arial"/>
          <w:lang w:eastAsia="de-DE"/>
        </w:rPr>
      </w:pPr>
      <w:r>
        <w:rPr>
          <w:rFonts w:cs="Arial"/>
          <w:lang w:eastAsia="de-DE"/>
        </w:rPr>
        <w:t xml:space="preserve">The present document details the methodology </w:t>
      </w:r>
      <w:r w:rsidR="005F5591">
        <w:rPr>
          <w:rFonts w:cs="Arial"/>
          <w:lang w:eastAsia="de-DE"/>
        </w:rPr>
        <w:t xml:space="preserve">used for collecting data </w:t>
      </w:r>
      <w:r>
        <w:rPr>
          <w:rFonts w:cs="Arial"/>
          <w:lang w:eastAsia="de-DE"/>
        </w:rPr>
        <w:t xml:space="preserve">(Section 3), </w:t>
      </w:r>
      <w:r w:rsidR="005F5591">
        <w:rPr>
          <w:rFonts w:cs="Arial"/>
          <w:lang w:eastAsia="de-DE"/>
        </w:rPr>
        <w:t xml:space="preserve">presents </w:t>
      </w:r>
      <w:r>
        <w:rPr>
          <w:rFonts w:cs="Arial"/>
          <w:lang w:eastAsia="de-DE"/>
        </w:rPr>
        <w:t>key findings from the data collection (Section 4)</w:t>
      </w:r>
      <w:r w:rsidR="005F5591">
        <w:rPr>
          <w:rFonts w:cs="Arial"/>
          <w:lang w:eastAsia="de-DE"/>
        </w:rPr>
        <w:t xml:space="preserve">, and draws conclusions (Section 5). The report is complemented by an appendix with a glossary of key terms and concepts used when discussing direct and indirect costs of sustainability certification, </w:t>
      </w:r>
      <w:r w:rsidR="00176830">
        <w:rPr>
          <w:rFonts w:cs="Arial"/>
          <w:lang w:eastAsia="de-DE"/>
        </w:rPr>
        <w:t xml:space="preserve">and </w:t>
      </w:r>
      <w:r w:rsidR="005F5591">
        <w:rPr>
          <w:rFonts w:cs="Arial"/>
          <w:lang w:eastAsia="de-DE"/>
        </w:rPr>
        <w:t xml:space="preserve">the link to </w:t>
      </w:r>
      <w:r w:rsidR="00F259C3">
        <w:rPr>
          <w:rFonts w:cs="Arial"/>
          <w:lang w:eastAsia="de-DE"/>
        </w:rPr>
        <w:t>access</w:t>
      </w:r>
      <w:r w:rsidR="005F5591">
        <w:rPr>
          <w:rFonts w:cs="Arial"/>
          <w:lang w:eastAsia="de-DE"/>
        </w:rPr>
        <w:t xml:space="preserve"> the </w:t>
      </w:r>
      <w:r w:rsidR="00176830">
        <w:rPr>
          <w:rFonts w:cs="Arial"/>
          <w:lang w:eastAsia="de-DE"/>
        </w:rPr>
        <w:t xml:space="preserve">online </w:t>
      </w:r>
      <w:r w:rsidR="005F5591">
        <w:rPr>
          <w:rFonts w:cs="Arial"/>
          <w:lang w:eastAsia="de-DE"/>
        </w:rPr>
        <w:t>database</w:t>
      </w:r>
      <w:r w:rsidR="00F259C3">
        <w:rPr>
          <w:rFonts w:cs="Arial"/>
          <w:lang w:eastAsia="de-DE"/>
        </w:rPr>
        <w:t>.</w:t>
      </w:r>
    </w:p>
    <w:p w14:paraId="50802DFB" w14:textId="77777777" w:rsidR="00470073" w:rsidRDefault="00470073" w:rsidP="00597F7A">
      <w:pPr>
        <w:tabs>
          <w:tab w:val="num" w:pos="720"/>
        </w:tabs>
        <w:spacing w:line="276" w:lineRule="auto"/>
        <w:jc w:val="both"/>
      </w:pPr>
    </w:p>
    <w:p w14:paraId="6070D15F" w14:textId="77777777" w:rsidR="00D57F77" w:rsidRDefault="006956E5" w:rsidP="00DD0BFD">
      <w:pPr>
        <w:pStyle w:val="Heading1"/>
      </w:pPr>
      <w:bookmarkStart w:id="4" w:name="_Toc166073772"/>
      <w:r>
        <w:t>Methodology</w:t>
      </w:r>
      <w:bookmarkEnd w:id="4"/>
    </w:p>
    <w:p w14:paraId="631D0586" w14:textId="77777777" w:rsidR="006956E5" w:rsidRPr="006956E5" w:rsidRDefault="006956E5" w:rsidP="00C91120">
      <w:pPr>
        <w:pStyle w:val="Heading2"/>
      </w:pPr>
      <w:bookmarkStart w:id="5" w:name="_Toc166073773"/>
      <w:r w:rsidRPr="006956E5">
        <w:t>Quantifying direct cost of certification</w:t>
      </w:r>
      <w:bookmarkEnd w:id="5"/>
    </w:p>
    <w:p w14:paraId="6B69C19D" w14:textId="77777777" w:rsidR="00CE2CFE" w:rsidRPr="0036749F" w:rsidRDefault="004A3BDC" w:rsidP="00CE2CFE">
      <w:pPr>
        <w:jc w:val="both"/>
      </w:pPr>
      <w:r>
        <w:t xml:space="preserve">To </w:t>
      </w:r>
      <w:proofErr w:type="spellStart"/>
      <w:r>
        <w:t>quantifiy</w:t>
      </w:r>
      <w:proofErr w:type="spellEnd"/>
      <w:r>
        <w:t xml:space="preserve"> the direct cost of </w:t>
      </w:r>
      <w:proofErr w:type="spellStart"/>
      <w:r>
        <w:t>certiciation</w:t>
      </w:r>
      <w:proofErr w:type="spellEnd"/>
      <w:r>
        <w:t>, t</w:t>
      </w:r>
      <w:r w:rsidR="00CE2CFE">
        <w:t>he Task 6.1-partners</w:t>
      </w:r>
      <w:r>
        <w:t xml:space="preserve"> </w:t>
      </w:r>
      <w:r w:rsidR="00CE2CFE" w:rsidRPr="0036749F">
        <w:t>gather</w:t>
      </w:r>
      <w:r w:rsidR="00CE2CFE">
        <w:t>ed</w:t>
      </w:r>
      <w:r w:rsidR="00CE2CFE" w:rsidRPr="0036749F">
        <w:t xml:space="preserve"> </w:t>
      </w:r>
      <w:r w:rsidR="00CE2CFE">
        <w:t xml:space="preserve">their </w:t>
      </w:r>
      <w:r w:rsidR="00CE2CFE" w:rsidRPr="0036749F">
        <w:t xml:space="preserve">first-hand information on the fees charged by </w:t>
      </w:r>
      <w:r w:rsidR="00CE2CFE">
        <w:t>them in the</w:t>
      </w:r>
      <w:r>
        <w:t>ir</w:t>
      </w:r>
      <w:r w:rsidR="00CE2CFE">
        <w:t xml:space="preserve"> capacity </w:t>
      </w:r>
      <w:r>
        <w:t>as certification body (</w:t>
      </w:r>
      <w:r w:rsidR="00CE2CFE">
        <w:t>CB</w:t>
      </w:r>
      <w:r>
        <w:t>)</w:t>
      </w:r>
      <w:r w:rsidR="00CE2CFE" w:rsidRPr="0036749F">
        <w:t xml:space="preserve"> </w:t>
      </w:r>
      <w:r w:rsidR="00CE2CFE">
        <w:t>to</w:t>
      </w:r>
      <w:r w:rsidR="00CE2CFE" w:rsidRPr="0036749F">
        <w:t xml:space="preserve"> certified companies, also known as certificate holders</w:t>
      </w:r>
      <w:r w:rsidR="00CE2CFE">
        <w:t xml:space="preserve"> (CHs)</w:t>
      </w:r>
      <w:r w:rsidR="00CE2CFE" w:rsidRPr="0036749F">
        <w:t xml:space="preserve">. These fees are associated with receiving and maintaining the certification status of certificate holders. </w:t>
      </w:r>
    </w:p>
    <w:p w14:paraId="53359F5E" w14:textId="77777777" w:rsidR="00502555" w:rsidRPr="0036749F" w:rsidRDefault="00CB4B4A" w:rsidP="00BC7A88">
      <w:pPr>
        <w:spacing w:after="0"/>
        <w:jc w:val="both"/>
      </w:pPr>
      <w:r>
        <w:t>D</w:t>
      </w:r>
      <w:r w:rsidR="00502555" w:rsidRPr="00681A86">
        <w:t xml:space="preserve">irect costs of certification </w:t>
      </w:r>
      <w:r w:rsidR="00BB3EB2">
        <w:t>include</w:t>
      </w:r>
      <w:r w:rsidR="00502555" w:rsidRPr="00681A86">
        <w:t>:</w:t>
      </w:r>
    </w:p>
    <w:p w14:paraId="4B2FB263" w14:textId="77777777" w:rsidR="00502555" w:rsidRPr="0036749F" w:rsidRDefault="00B050C1" w:rsidP="00BC7A88">
      <w:pPr>
        <w:pStyle w:val="ListParagraph"/>
        <w:numPr>
          <w:ilvl w:val="0"/>
          <w:numId w:val="19"/>
        </w:numPr>
        <w:jc w:val="both"/>
        <w:rPr>
          <w:rFonts w:eastAsia="Arial" w:cs="Arial"/>
        </w:rPr>
      </w:pPr>
      <w:r>
        <w:t>F</w:t>
      </w:r>
      <w:r w:rsidR="00502555" w:rsidRPr="0036749F">
        <w:t xml:space="preserve">ees charged by the certification body to conduct the audit (including auditing/reporting, administration, </w:t>
      </w:r>
      <w:proofErr w:type="gramStart"/>
      <w:r w:rsidR="00502555" w:rsidRPr="0036749F">
        <w:t>expenses</w:t>
      </w:r>
      <w:proofErr w:type="gramEnd"/>
      <w:r w:rsidR="00502555" w:rsidRPr="0036749F">
        <w:t xml:space="preserve"> and technical review)</w:t>
      </w:r>
      <w:r w:rsidR="00BB3EB2">
        <w:t>,</w:t>
      </w:r>
    </w:p>
    <w:p w14:paraId="7FDB669D" w14:textId="77777777" w:rsidR="00502555" w:rsidRPr="0036749F" w:rsidRDefault="00502555" w:rsidP="00BC7A88">
      <w:pPr>
        <w:pStyle w:val="ListParagraph"/>
        <w:numPr>
          <w:ilvl w:val="0"/>
          <w:numId w:val="19"/>
        </w:numPr>
        <w:jc w:val="both"/>
        <w:rPr>
          <w:rFonts w:eastAsia="Arial" w:cs="Arial"/>
        </w:rPr>
      </w:pPr>
      <w:r w:rsidRPr="0036749F">
        <w:t>Fees charged by the certification scheme owners</w:t>
      </w:r>
      <w:r w:rsidR="00BB3EB2">
        <w:t>, and</w:t>
      </w:r>
    </w:p>
    <w:p w14:paraId="1EFC8F65" w14:textId="77777777" w:rsidR="00502555" w:rsidRPr="0036749F" w:rsidRDefault="00502555" w:rsidP="00BC7A88">
      <w:pPr>
        <w:pStyle w:val="ListParagraph"/>
        <w:numPr>
          <w:ilvl w:val="0"/>
          <w:numId w:val="19"/>
        </w:numPr>
        <w:jc w:val="both"/>
        <w:rPr>
          <w:rFonts w:eastAsia="Arial" w:cs="Arial"/>
        </w:rPr>
      </w:pPr>
      <w:r w:rsidRPr="0036749F">
        <w:t xml:space="preserve">Any fees for trademark usage incurred for expressing </w:t>
      </w:r>
      <w:r w:rsidR="00267C2F" w:rsidRPr="0036749F">
        <w:t>participati</w:t>
      </w:r>
      <w:r w:rsidR="00267C2F">
        <w:t>on</w:t>
      </w:r>
      <w:r w:rsidR="00267C2F" w:rsidRPr="0036749F">
        <w:t xml:space="preserve"> </w:t>
      </w:r>
      <w:r w:rsidRPr="0036749F">
        <w:t>in a specific certification scheme.</w:t>
      </w:r>
    </w:p>
    <w:p w14:paraId="5A15E0FE" w14:textId="77777777" w:rsidR="00502555" w:rsidRPr="0036749F" w:rsidRDefault="00502555" w:rsidP="00A86BC1">
      <w:pPr>
        <w:jc w:val="both"/>
      </w:pPr>
      <w:r w:rsidRPr="0036749F">
        <w:t xml:space="preserve">The direct costs data </w:t>
      </w:r>
      <w:r w:rsidR="00112CDF">
        <w:t xml:space="preserve">were </w:t>
      </w:r>
      <w:r w:rsidR="001604DE">
        <w:t xml:space="preserve">collected for, and then </w:t>
      </w:r>
      <w:r w:rsidR="00112CDF">
        <w:t>sorted by</w:t>
      </w:r>
      <w:r w:rsidR="001604DE">
        <w:t>,</w:t>
      </w:r>
      <w:r w:rsidR="00112CDF">
        <w:t xml:space="preserve"> the</w:t>
      </w:r>
      <w:r w:rsidRPr="0036749F">
        <w:t xml:space="preserve"> type of certification, supply chain element and region, </w:t>
      </w:r>
      <w:r w:rsidR="001604DE">
        <w:t xml:space="preserve">as these </w:t>
      </w:r>
      <w:r w:rsidR="00CE2CFE">
        <w:t>factors influence</w:t>
      </w:r>
      <w:r w:rsidRPr="0036749F">
        <w:t xml:space="preserve"> the costs of auditing or certificate fees</w:t>
      </w:r>
      <w:r w:rsidR="00CE2CFE">
        <w:t xml:space="preserve">. This general information as well as the cost item categories that were collected are provided in </w:t>
      </w:r>
      <w:r w:rsidRPr="0036749F">
        <w:fldChar w:fldCharType="begin"/>
      </w:r>
      <w:r w:rsidRPr="0036749F">
        <w:instrText xml:space="preserve"> REF _Ref152592548 \h  \* MERGEFORMAT </w:instrText>
      </w:r>
      <w:r w:rsidRPr="0036749F">
        <w:fldChar w:fldCharType="separate"/>
      </w:r>
      <w:r w:rsidR="005F7B06" w:rsidRPr="0036749F">
        <w:t xml:space="preserve">Table </w:t>
      </w:r>
      <w:r w:rsidR="005F7B06">
        <w:rPr>
          <w:noProof/>
        </w:rPr>
        <w:t>1</w:t>
      </w:r>
      <w:r w:rsidRPr="0036749F">
        <w:fldChar w:fldCharType="end"/>
      </w:r>
      <w:r w:rsidRPr="0036749F">
        <w:t xml:space="preserve">. </w:t>
      </w:r>
    </w:p>
    <w:p w14:paraId="14655F2C" w14:textId="77777777" w:rsidR="00502555" w:rsidRPr="0036749F" w:rsidRDefault="00502555" w:rsidP="004C0571">
      <w:pPr>
        <w:pStyle w:val="Caption"/>
      </w:pPr>
      <w:bookmarkStart w:id="6" w:name="_Ref152592548"/>
      <w:bookmarkStart w:id="7" w:name="_Toc160194218"/>
      <w:r w:rsidRPr="0036749F">
        <w:t xml:space="preserve">Table </w:t>
      </w:r>
      <w:r w:rsidRPr="0036749F">
        <w:fldChar w:fldCharType="begin"/>
      </w:r>
      <w:r w:rsidRPr="0036749F">
        <w:instrText>SEQ Table \* ARABIC</w:instrText>
      </w:r>
      <w:r w:rsidRPr="0036749F">
        <w:fldChar w:fldCharType="separate"/>
      </w:r>
      <w:r w:rsidR="005F7B06">
        <w:rPr>
          <w:noProof/>
        </w:rPr>
        <w:t>1</w:t>
      </w:r>
      <w:r w:rsidRPr="0036749F">
        <w:fldChar w:fldCharType="end"/>
      </w:r>
      <w:bookmarkEnd w:id="6"/>
      <w:r>
        <w:t>:</w:t>
      </w:r>
      <w:r w:rsidRPr="0036749F">
        <w:t xml:space="preserve"> Overview of data collection on direct costs</w:t>
      </w:r>
      <w:bookmarkEnd w:id="7"/>
    </w:p>
    <w:tbl>
      <w:tblPr>
        <w:tblStyle w:val="HARMONITOR-Table2"/>
        <w:tblW w:w="9067" w:type="dxa"/>
        <w:tblBorders>
          <w:top w:val="single" w:sz="4" w:space="0" w:color="66BBCA"/>
          <w:left w:val="single" w:sz="4" w:space="0" w:color="66BBCA"/>
          <w:bottom w:val="single" w:sz="4" w:space="0" w:color="66BBCA"/>
          <w:right w:val="single" w:sz="4" w:space="0" w:color="66BBCA"/>
          <w:insideH w:val="single" w:sz="4" w:space="0" w:color="66BBCA"/>
          <w:insideV w:val="single" w:sz="4" w:space="0" w:color="66BBCA"/>
        </w:tblBorders>
        <w:tblLook w:val="04A0" w:firstRow="1" w:lastRow="0" w:firstColumn="1" w:lastColumn="0" w:noHBand="0" w:noVBand="1"/>
      </w:tblPr>
      <w:tblGrid>
        <w:gridCol w:w="4390"/>
        <w:gridCol w:w="425"/>
        <w:gridCol w:w="4252"/>
      </w:tblGrid>
      <w:tr w:rsidR="00502555" w:rsidRPr="00431D40" w14:paraId="5883E20F" w14:textId="77777777" w:rsidTr="009E3EF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390" w:type="dxa"/>
            <w:tcBorders>
              <w:top w:val="single" w:sz="4" w:space="0" w:color="66BBCA"/>
              <w:left w:val="single" w:sz="4" w:space="0" w:color="66BBCA"/>
              <w:bottom w:val="single" w:sz="4" w:space="0" w:color="66BBCA"/>
              <w:right w:val="single" w:sz="4" w:space="0" w:color="66BBCA"/>
            </w:tcBorders>
          </w:tcPr>
          <w:p w14:paraId="1000C7DF" w14:textId="77777777" w:rsidR="00502555" w:rsidRPr="00431D40" w:rsidRDefault="00502555" w:rsidP="00431D40">
            <w:pPr>
              <w:keepNext/>
              <w:rPr>
                <w:b/>
                <w:bCs w:val="0"/>
                <w:color w:val="FFFFFF" w:themeColor="background1"/>
                <w:sz w:val="20"/>
                <w:szCs w:val="18"/>
              </w:rPr>
            </w:pPr>
            <w:r w:rsidRPr="00431D40">
              <w:rPr>
                <w:b/>
                <w:bCs w:val="0"/>
                <w:color w:val="FFFFFF" w:themeColor="background1"/>
                <w:sz w:val="20"/>
                <w:szCs w:val="18"/>
              </w:rPr>
              <w:t>General information</w:t>
            </w:r>
          </w:p>
        </w:tc>
        <w:tc>
          <w:tcPr>
            <w:tcW w:w="425" w:type="dxa"/>
            <w:vMerge w:val="restart"/>
            <w:tcBorders>
              <w:top w:val="single" w:sz="4" w:space="0" w:color="66BBCA"/>
              <w:left w:val="single" w:sz="4" w:space="0" w:color="66BBCA"/>
              <w:bottom w:val="single" w:sz="4" w:space="0" w:color="66BBCA"/>
              <w:right w:val="single" w:sz="4" w:space="0" w:color="66BBCA"/>
            </w:tcBorders>
          </w:tcPr>
          <w:p w14:paraId="090061EC" w14:textId="77777777" w:rsidR="00502555" w:rsidRPr="00431D40" w:rsidRDefault="00502555" w:rsidP="00431D40">
            <w:pPr>
              <w:keepNext/>
              <w:cnfStyle w:val="100000000000" w:firstRow="1" w:lastRow="0" w:firstColumn="0" w:lastColumn="0" w:oddVBand="0" w:evenVBand="0" w:oddHBand="0" w:evenHBand="0" w:firstRowFirstColumn="0" w:firstRowLastColumn="0" w:lastRowFirstColumn="0" w:lastRowLastColumn="0"/>
              <w:rPr>
                <w:b/>
                <w:color w:val="FFFFFF" w:themeColor="background1"/>
                <w:sz w:val="20"/>
                <w:szCs w:val="18"/>
              </w:rPr>
            </w:pPr>
          </w:p>
        </w:tc>
        <w:tc>
          <w:tcPr>
            <w:tcW w:w="4252" w:type="dxa"/>
            <w:tcBorders>
              <w:top w:val="single" w:sz="4" w:space="0" w:color="66BBCA"/>
              <w:left w:val="single" w:sz="4" w:space="0" w:color="66BBCA"/>
              <w:bottom w:val="single" w:sz="4" w:space="0" w:color="66BBCA"/>
              <w:right w:val="single" w:sz="4" w:space="0" w:color="66BBCA"/>
            </w:tcBorders>
            <w:shd w:val="clear" w:color="auto" w:fill="66BBCA"/>
          </w:tcPr>
          <w:p w14:paraId="6EB95F24" w14:textId="77777777" w:rsidR="00502555" w:rsidRPr="00431D40" w:rsidRDefault="00502555" w:rsidP="00431D40">
            <w:pPr>
              <w:keepNext/>
              <w:cnfStyle w:val="100000000000" w:firstRow="1" w:lastRow="0" w:firstColumn="0" w:lastColumn="0" w:oddVBand="0" w:evenVBand="0" w:oddHBand="0" w:evenHBand="0" w:firstRowFirstColumn="0" w:firstRowLastColumn="0" w:lastRowFirstColumn="0" w:lastRowLastColumn="0"/>
              <w:rPr>
                <w:b/>
                <w:bCs w:val="0"/>
                <w:color w:val="FFFFFF" w:themeColor="background1"/>
                <w:sz w:val="20"/>
                <w:szCs w:val="18"/>
              </w:rPr>
            </w:pPr>
            <w:r w:rsidRPr="00431D40">
              <w:rPr>
                <w:b/>
                <w:bCs w:val="0"/>
                <w:color w:val="FFFFFF" w:themeColor="background1"/>
                <w:sz w:val="20"/>
                <w:szCs w:val="18"/>
              </w:rPr>
              <w:t>Direct cost items</w:t>
            </w:r>
          </w:p>
        </w:tc>
      </w:tr>
      <w:tr w:rsidR="00502555" w:rsidRPr="00431D40" w14:paraId="3D5415DA" w14:textId="77777777" w:rsidTr="009E3E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56844E90" w14:textId="77777777" w:rsidR="00502555" w:rsidRPr="00431D40" w:rsidRDefault="00502555" w:rsidP="00431D40">
            <w:pPr>
              <w:keepNext/>
              <w:rPr>
                <w:b w:val="0"/>
                <w:bCs w:val="0"/>
                <w:color w:val="auto"/>
                <w:sz w:val="20"/>
                <w:szCs w:val="18"/>
              </w:rPr>
            </w:pPr>
            <w:r w:rsidRPr="00431D40">
              <w:rPr>
                <w:b w:val="0"/>
                <w:bCs w:val="0"/>
                <w:color w:val="7F7F7F"/>
                <w:sz w:val="20"/>
                <w:szCs w:val="18"/>
              </w:rPr>
              <w:t>CSL</w:t>
            </w:r>
          </w:p>
        </w:tc>
        <w:tc>
          <w:tcPr>
            <w:tcW w:w="425" w:type="dxa"/>
            <w:vMerge/>
          </w:tcPr>
          <w:p w14:paraId="2CC6C07B" w14:textId="77777777" w:rsidR="00502555" w:rsidRPr="00431D40" w:rsidRDefault="00502555" w:rsidP="00431D40">
            <w:pPr>
              <w:keepNext/>
              <w:cnfStyle w:val="000000100000" w:firstRow="0" w:lastRow="0" w:firstColumn="0" w:lastColumn="0" w:oddVBand="0" w:evenVBand="0" w:oddHBand="1" w:evenHBand="0" w:firstRowFirstColumn="0" w:firstRowLastColumn="0" w:lastRowFirstColumn="0" w:lastRowLastColumn="0"/>
              <w:rPr>
                <w:sz w:val="20"/>
                <w:szCs w:val="18"/>
              </w:rPr>
            </w:pPr>
          </w:p>
        </w:tc>
        <w:tc>
          <w:tcPr>
            <w:tcW w:w="4252" w:type="dxa"/>
            <w:shd w:val="clear" w:color="auto" w:fill="auto"/>
          </w:tcPr>
          <w:p w14:paraId="5FD3042D" w14:textId="77777777" w:rsidR="00502555" w:rsidRPr="00431D40" w:rsidRDefault="00502555" w:rsidP="00431D40">
            <w:pPr>
              <w:keepNext/>
              <w:cnfStyle w:val="000000100000" w:firstRow="0" w:lastRow="0" w:firstColumn="0" w:lastColumn="0" w:oddVBand="0" w:evenVBand="0" w:oddHBand="1" w:evenHBand="0" w:firstRowFirstColumn="0" w:firstRowLastColumn="0" w:lastRowFirstColumn="0" w:lastRowLastColumn="0"/>
              <w:rPr>
                <w:sz w:val="20"/>
                <w:szCs w:val="18"/>
              </w:rPr>
            </w:pPr>
            <w:r w:rsidRPr="00431D40">
              <w:rPr>
                <w:sz w:val="20"/>
                <w:szCs w:val="18"/>
              </w:rPr>
              <w:t>Certificate fees</w:t>
            </w:r>
          </w:p>
        </w:tc>
      </w:tr>
      <w:tr w:rsidR="00502555" w:rsidRPr="00431D40" w14:paraId="77E6187C" w14:textId="77777777" w:rsidTr="009E3EF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5DD72E6D" w14:textId="77777777" w:rsidR="00502555" w:rsidRPr="00431D40" w:rsidRDefault="00502555" w:rsidP="00431D40">
            <w:pPr>
              <w:rPr>
                <w:b w:val="0"/>
                <w:bCs w:val="0"/>
                <w:color w:val="7F7F7F"/>
                <w:sz w:val="20"/>
                <w:szCs w:val="18"/>
              </w:rPr>
            </w:pPr>
            <w:r w:rsidRPr="00431D40">
              <w:rPr>
                <w:b w:val="0"/>
                <w:bCs w:val="0"/>
                <w:color w:val="7F7F7F"/>
                <w:sz w:val="20"/>
                <w:szCs w:val="18"/>
              </w:rPr>
              <w:t>Group/individual certification</w:t>
            </w:r>
          </w:p>
        </w:tc>
        <w:tc>
          <w:tcPr>
            <w:tcW w:w="425" w:type="dxa"/>
            <w:vMerge/>
          </w:tcPr>
          <w:p w14:paraId="231CEA75"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p>
        </w:tc>
        <w:tc>
          <w:tcPr>
            <w:tcW w:w="4252" w:type="dxa"/>
            <w:shd w:val="clear" w:color="auto" w:fill="auto"/>
          </w:tcPr>
          <w:p w14:paraId="275B62B2"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r w:rsidRPr="00431D40">
              <w:rPr>
                <w:sz w:val="20"/>
                <w:szCs w:val="18"/>
              </w:rPr>
              <w:t>Annual membership fees (if applicable)</w:t>
            </w:r>
          </w:p>
        </w:tc>
      </w:tr>
      <w:tr w:rsidR="00502555" w:rsidRPr="00431D40" w14:paraId="2BF5246D" w14:textId="77777777" w:rsidTr="009E3E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5146345F" w14:textId="77777777" w:rsidR="00502555" w:rsidRPr="00431D40" w:rsidRDefault="00502555" w:rsidP="00431D40">
            <w:pPr>
              <w:rPr>
                <w:b w:val="0"/>
                <w:bCs w:val="0"/>
                <w:color w:val="7F7F7F"/>
                <w:sz w:val="20"/>
                <w:szCs w:val="18"/>
              </w:rPr>
            </w:pPr>
            <w:r w:rsidRPr="00431D40">
              <w:rPr>
                <w:b w:val="0"/>
                <w:bCs w:val="0"/>
                <w:color w:val="7F7F7F"/>
                <w:sz w:val="20"/>
                <w:szCs w:val="18"/>
              </w:rPr>
              <w:t xml:space="preserve">Region </w:t>
            </w:r>
          </w:p>
        </w:tc>
        <w:tc>
          <w:tcPr>
            <w:tcW w:w="425" w:type="dxa"/>
            <w:vMerge/>
          </w:tcPr>
          <w:p w14:paraId="0D540CF0" w14:textId="77777777" w:rsidR="00502555" w:rsidRPr="00431D40" w:rsidRDefault="00502555" w:rsidP="00431D40">
            <w:pPr>
              <w:cnfStyle w:val="000000100000" w:firstRow="0" w:lastRow="0" w:firstColumn="0" w:lastColumn="0" w:oddVBand="0" w:evenVBand="0" w:oddHBand="1" w:evenHBand="0" w:firstRowFirstColumn="0" w:firstRowLastColumn="0" w:lastRowFirstColumn="0" w:lastRowLastColumn="0"/>
              <w:rPr>
                <w:sz w:val="20"/>
                <w:szCs w:val="18"/>
              </w:rPr>
            </w:pPr>
          </w:p>
        </w:tc>
        <w:tc>
          <w:tcPr>
            <w:tcW w:w="4252" w:type="dxa"/>
            <w:shd w:val="clear" w:color="auto" w:fill="auto"/>
          </w:tcPr>
          <w:p w14:paraId="6C81004B" w14:textId="77777777" w:rsidR="00502555" w:rsidRPr="00431D40" w:rsidRDefault="00502555" w:rsidP="00431D40">
            <w:pPr>
              <w:cnfStyle w:val="000000100000" w:firstRow="0" w:lastRow="0" w:firstColumn="0" w:lastColumn="0" w:oddVBand="0" w:evenVBand="0" w:oddHBand="1" w:evenHBand="0" w:firstRowFirstColumn="0" w:firstRowLastColumn="0" w:lastRowFirstColumn="0" w:lastRowLastColumn="0"/>
              <w:rPr>
                <w:sz w:val="20"/>
                <w:szCs w:val="18"/>
              </w:rPr>
            </w:pPr>
            <w:r w:rsidRPr="00431D40">
              <w:rPr>
                <w:sz w:val="20"/>
                <w:szCs w:val="18"/>
              </w:rPr>
              <w:t>Administration</w:t>
            </w:r>
          </w:p>
        </w:tc>
      </w:tr>
      <w:tr w:rsidR="00502555" w:rsidRPr="00431D40" w14:paraId="3C98118B" w14:textId="77777777" w:rsidTr="009E3EF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768321B7" w14:textId="77777777" w:rsidR="00502555" w:rsidRPr="00431D40" w:rsidRDefault="00502555" w:rsidP="00431D40">
            <w:pPr>
              <w:rPr>
                <w:b w:val="0"/>
                <w:bCs w:val="0"/>
                <w:color w:val="7F7F7F"/>
                <w:sz w:val="20"/>
                <w:szCs w:val="18"/>
              </w:rPr>
            </w:pPr>
            <w:r w:rsidRPr="00431D40">
              <w:rPr>
                <w:b w:val="0"/>
                <w:bCs w:val="0"/>
                <w:color w:val="7F7F7F"/>
                <w:sz w:val="20"/>
                <w:szCs w:val="18"/>
              </w:rPr>
              <w:t>Supply chain element</w:t>
            </w:r>
          </w:p>
        </w:tc>
        <w:tc>
          <w:tcPr>
            <w:tcW w:w="425" w:type="dxa"/>
            <w:vMerge/>
          </w:tcPr>
          <w:p w14:paraId="1FB16B8F"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p>
        </w:tc>
        <w:tc>
          <w:tcPr>
            <w:tcW w:w="4252" w:type="dxa"/>
            <w:shd w:val="clear" w:color="auto" w:fill="auto"/>
          </w:tcPr>
          <w:p w14:paraId="74780D03"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r w:rsidRPr="00431D40">
              <w:rPr>
                <w:sz w:val="20"/>
                <w:szCs w:val="18"/>
              </w:rPr>
              <w:t>Auditing, reporting</w:t>
            </w:r>
          </w:p>
        </w:tc>
      </w:tr>
      <w:tr w:rsidR="00502555" w:rsidRPr="00431D40" w14:paraId="518EEEAD" w14:textId="77777777" w:rsidTr="009E3E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30E5D93D" w14:textId="77777777" w:rsidR="00502555" w:rsidRPr="00431D40" w:rsidRDefault="00502555" w:rsidP="00431D40">
            <w:pPr>
              <w:rPr>
                <w:b w:val="0"/>
                <w:bCs w:val="0"/>
                <w:color w:val="7F7F7F"/>
                <w:sz w:val="20"/>
                <w:szCs w:val="18"/>
              </w:rPr>
            </w:pPr>
            <w:r w:rsidRPr="00431D40">
              <w:rPr>
                <w:b w:val="0"/>
                <w:bCs w:val="0"/>
                <w:color w:val="7F7F7F"/>
                <w:sz w:val="20"/>
                <w:szCs w:val="18"/>
              </w:rPr>
              <w:t>Feedstock category</w:t>
            </w:r>
          </w:p>
        </w:tc>
        <w:tc>
          <w:tcPr>
            <w:tcW w:w="425" w:type="dxa"/>
            <w:vMerge/>
          </w:tcPr>
          <w:p w14:paraId="7CCBC788" w14:textId="77777777" w:rsidR="00502555" w:rsidRPr="00431D40" w:rsidRDefault="00502555" w:rsidP="00431D40">
            <w:pPr>
              <w:cnfStyle w:val="000000100000" w:firstRow="0" w:lastRow="0" w:firstColumn="0" w:lastColumn="0" w:oddVBand="0" w:evenVBand="0" w:oddHBand="1" w:evenHBand="0" w:firstRowFirstColumn="0" w:firstRowLastColumn="0" w:lastRowFirstColumn="0" w:lastRowLastColumn="0"/>
              <w:rPr>
                <w:sz w:val="20"/>
                <w:szCs w:val="18"/>
              </w:rPr>
            </w:pPr>
          </w:p>
        </w:tc>
        <w:tc>
          <w:tcPr>
            <w:tcW w:w="4252" w:type="dxa"/>
            <w:shd w:val="clear" w:color="auto" w:fill="auto"/>
          </w:tcPr>
          <w:p w14:paraId="30B2AC76" w14:textId="77777777" w:rsidR="00502555" w:rsidRPr="00431D40" w:rsidRDefault="00502555" w:rsidP="00431D40">
            <w:pPr>
              <w:cnfStyle w:val="000000100000" w:firstRow="0" w:lastRow="0" w:firstColumn="0" w:lastColumn="0" w:oddVBand="0" w:evenVBand="0" w:oddHBand="1" w:evenHBand="0" w:firstRowFirstColumn="0" w:firstRowLastColumn="0" w:lastRowFirstColumn="0" w:lastRowLastColumn="0"/>
              <w:rPr>
                <w:sz w:val="20"/>
                <w:szCs w:val="18"/>
              </w:rPr>
            </w:pPr>
            <w:r w:rsidRPr="00431D40">
              <w:rPr>
                <w:sz w:val="20"/>
                <w:szCs w:val="18"/>
              </w:rPr>
              <w:t>Technical review</w:t>
            </w:r>
          </w:p>
        </w:tc>
      </w:tr>
      <w:tr w:rsidR="00502555" w:rsidRPr="00431D40" w14:paraId="0D6782DB" w14:textId="77777777" w:rsidTr="009E3EF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73674B72" w14:textId="77777777" w:rsidR="00502555" w:rsidRPr="00431D40" w:rsidRDefault="00502555" w:rsidP="00431D40">
            <w:pPr>
              <w:rPr>
                <w:b w:val="0"/>
                <w:bCs w:val="0"/>
                <w:color w:val="7F7F7F"/>
                <w:sz w:val="20"/>
                <w:szCs w:val="18"/>
              </w:rPr>
            </w:pPr>
            <w:r w:rsidRPr="00431D40">
              <w:rPr>
                <w:b w:val="0"/>
                <w:bCs w:val="0"/>
                <w:color w:val="7F7F7F"/>
                <w:sz w:val="20"/>
                <w:szCs w:val="18"/>
              </w:rPr>
              <w:t>Feedstock specific</w:t>
            </w:r>
          </w:p>
        </w:tc>
        <w:tc>
          <w:tcPr>
            <w:tcW w:w="425" w:type="dxa"/>
            <w:vMerge/>
          </w:tcPr>
          <w:p w14:paraId="5CC64421"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p>
        </w:tc>
        <w:tc>
          <w:tcPr>
            <w:tcW w:w="4252" w:type="dxa"/>
            <w:shd w:val="clear" w:color="auto" w:fill="auto"/>
          </w:tcPr>
          <w:p w14:paraId="3D309F99"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r w:rsidRPr="00431D40">
              <w:rPr>
                <w:sz w:val="20"/>
                <w:szCs w:val="18"/>
              </w:rPr>
              <w:t>Expenses</w:t>
            </w:r>
          </w:p>
        </w:tc>
      </w:tr>
      <w:tr w:rsidR="00502555" w:rsidRPr="00431D40" w14:paraId="4098CC9A" w14:textId="77777777" w:rsidTr="009E3EF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5713CFF8" w14:textId="77777777" w:rsidR="00502555" w:rsidRPr="00431D40" w:rsidRDefault="00502555" w:rsidP="00431D40">
            <w:pPr>
              <w:rPr>
                <w:b w:val="0"/>
                <w:bCs w:val="0"/>
                <w:color w:val="7F7F7F"/>
                <w:sz w:val="20"/>
                <w:szCs w:val="18"/>
              </w:rPr>
            </w:pPr>
            <w:r w:rsidRPr="00431D40">
              <w:rPr>
                <w:b w:val="0"/>
                <w:bCs w:val="0"/>
                <w:color w:val="7F7F7F"/>
                <w:sz w:val="20"/>
                <w:szCs w:val="18"/>
              </w:rPr>
              <w:t xml:space="preserve">Size of farm (if supplier) </w:t>
            </w:r>
          </w:p>
        </w:tc>
        <w:tc>
          <w:tcPr>
            <w:tcW w:w="425" w:type="dxa"/>
            <w:vMerge/>
          </w:tcPr>
          <w:p w14:paraId="2E1E30B7" w14:textId="77777777" w:rsidR="00502555" w:rsidRPr="00431D40" w:rsidRDefault="00502555" w:rsidP="00431D40">
            <w:pPr>
              <w:cnfStyle w:val="000000100000" w:firstRow="0" w:lastRow="0" w:firstColumn="0" w:lastColumn="0" w:oddVBand="0" w:evenVBand="0" w:oddHBand="1" w:evenHBand="0" w:firstRowFirstColumn="0" w:firstRowLastColumn="0" w:lastRowFirstColumn="0" w:lastRowLastColumn="0"/>
              <w:rPr>
                <w:sz w:val="20"/>
                <w:szCs w:val="18"/>
              </w:rPr>
            </w:pPr>
          </w:p>
        </w:tc>
        <w:tc>
          <w:tcPr>
            <w:tcW w:w="4252" w:type="dxa"/>
            <w:shd w:val="clear" w:color="auto" w:fill="auto"/>
          </w:tcPr>
          <w:p w14:paraId="573FAB3B" w14:textId="77777777" w:rsidR="00502555" w:rsidRPr="00431D40" w:rsidRDefault="00502555" w:rsidP="00431D40">
            <w:pPr>
              <w:cnfStyle w:val="000000100000" w:firstRow="0" w:lastRow="0" w:firstColumn="0" w:lastColumn="0" w:oddVBand="0" w:evenVBand="0" w:oddHBand="1" w:evenHBand="0" w:firstRowFirstColumn="0" w:firstRowLastColumn="0" w:lastRowFirstColumn="0" w:lastRowLastColumn="0"/>
              <w:rPr>
                <w:sz w:val="20"/>
                <w:szCs w:val="18"/>
              </w:rPr>
            </w:pPr>
            <w:r w:rsidRPr="00431D40">
              <w:rPr>
                <w:sz w:val="20"/>
                <w:szCs w:val="18"/>
              </w:rPr>
              <w:t>Fees for trademark usage (if applicable)</w:t>
            </w:r>
          </w:p>
        </w:tc>
      </w:tr>
      <w:tr w:rsidR="00502555" w:rsidRPr="00431D40" w14:paraId="4FD948C4" w14:textId="77777777" w:rsidTr="00431D40">
        <w:trPr>
          <w:cnfStyle w:val="000000010000" w:firstRow="0" w:lastRow="0" w:firstColumn="0" w:lastColumn="0" w:oddVBand="0" w:evenVBand="0" w:oddHBand="0" w:evenHBand="1"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4390" w:type="dxa"/>
            <w:tcBorders>
              <w:left w:val="single" w:sz="4" w:space="0" w:color="66BBCA"/>
              <w:bottom w:val="single" w:sz="4" w:space="0" w:color="66BBCA"/>
            </w:tcBorders>
            <w:shd w:val="clear" w:color="auto" w:fill="auto"/>
          </w:tcPr>
          <w:p w14:paraId="40EE0570" w14:textId="77777777" w:rsidR="00502555" w:rsidRPr="00431D40" w:rsidRDefault="00502555" w:rsidP="00431D40">
            <w:pPr>
              <w:rPr>
                <w:b w:val="0"/>
                <w:bCs w:val="0"/>
                <w:color w:val="7F7F7F"/>
                <w:sz w:val="20"/>
                <w:szCs w:val="18"/>
              </w:rPr>
            </w:pPr>
            <w:r w:rsidRPr="00431D40">
              <w:rPr>
                <w:b w:val="0"/>
                <w:bCs w:val="0"/>
                <w:color w:val="7F7F7F"/>
                <w:sz w:val="20"/>
                <w:szCs w:val="18"/>
              </w:rPr>
              <w:t xml:space="preserve">Annual biomass input </w:t>
            </w:r>
            <w:r w:rsidR="00D341FC" w:rsidRPr="00431D40">
              <w:rPr>
                <w:b w:val="0"/>
                <w:bCs w:val="0"/>
                <w:color w:val="7F7F7F"/>
                <w:sz w:val="20"/>
                <w:szCs w:val="18"/>
              </w:rPr>
              <w:t>(</w:t>
            </w:r>
            <w:r w:rsidRPr="00431D40">
              <w:rPr>
                <w:b w:val="0"/>
                <w:bCs w:val="0"/>
                <w:color w:val="7F7F7F"/>
                <w:sz w:val="20"/>
                <w:szCs w:val="18"/>
              </w:rPr>
              <w:t>if processor, trader)</w:t>
            </w:r>
          </w:p>
        </w:tc>
        <w:tc>
          <w:tcPr>
            <w:tcW w:w="425" w:type="dxa"/>
            <w:vMerge/>
          </w:tcPr>
          <w:p w14:paraId="06537D32"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p>
        </w:tc>
        <w:tc>
          <w:tcPr>
            <w:tcW w:w="4252" w:type="dxa"/>
            <w:shd w:val="clear" w:color="auto" w:fill="auto"/>
          </w:tcPr>
          <w:p w14:paraId="4BF6A308" w14:textId="77777777" w:rsidR="00502555" w:rsidRPr="00431D40" w:rsidRDefault="00502555" w:rsidP="00431D40">
            <w:pPr>
              <w:cnfStyle w:val="000000010000" w:firstRow="0" w:lastRow="0" w:firstColumn="0" w:lastColumn="0" w:oddVBand="0" w:evenVBand="0" w:oddHBand="0" w:evenHBand="1" w:firstRowFirstColumn="0" w:firstRowLastColumn="0" w:lastRowFirstColumn="0" w:lastRowLastColumn="0"/>
              <w:rPr>
                <w:sz w:val="20"/>
                <w:szCs w:val="18"/>
              </w:rPr>
            </w:pPr>
          </w:p>
        </w:tc>
      </w:tr>
    </w:tbl>
    <w:p w14:paraId="5DC95F64" w14:textId="77777777" w:rsidR="00502555" w:rsidRDefault="00502555" w:rsidP="00502555"/>
    <w:p w14:paraId="115D7784" w14:textId="77777777" w:rsidR="00FF5E96" w:rsidRDefault="00502555" w:rsidP="00A86BC1">
      <w:pPr>
        <w:jc w:val="both"/>
      </w:pPr>
      <w:r w:rsidRPr="004E15B6">
        <w:t>Based on the comprehensive review of CSLs in WP2, the selection</w:t>
      </w:r>
      <w:r w:rsidR="00B46842">
        <w:t xml:space="preserve"> of CSLs for the direct cost estimation</w:t>
      </w:r>
      <w:r w:rsidRPr="004E15B6">
        <w:t xml:space="preserve"> </w:t>
      </w:r>
      <w:r w:rsidR="00AB3CC0">
        <w:t xml:space="preserve">in Task 6.1 </w:t>
      </w:r>
      <w:r w:rsidRPr="004E15B6">
        <w:t xml:space="preserve">was narrowed down to </w:t>
      </w:r>
      <w:r w:rsidR="003D71DE">
        <w:t>nine</w:t>
      </w:r>
      <w:r w:rsidRPr="004E15B6">
        <w:t xml:space="preserve"> CSLs. This selection was driven by the aim to represent the diversity of CSLs (including coverage of different feedstocks relevant for next analysis steps in WP6) and by consideration of the knowledge </w:t>
      </w:r>
      <w:r>
        <w:t xml:space="preserve">and first-hand information on auditing costs </w:t>
      </w:r>
      <w:r w:rsidRPr="004E15B6">
        <w:t xml:space="preserve">available through the HARMONITOR partners, including those not assigned to WP6. The collective expertise is predominantly guided by the partners' role as certification body for various schemes. </w:t>
      </w:r>
    </w:p>
    <w:p w14:paraId="49BEC3EA" w14:textId="77777777" w:rsidR="00502555" w:rsidRPr="002358BB" w:rsidRDefault="00502555" w:rsidP="008A7648">
      <w:r w:rsidRPr="004E15B6">
        <w:t xml:space="preserve">By leveraging the combined knowledge and expertise of the project partners, the selection process aimed to capture a well-rounded representation of aspects relating to the direct costs in line with the scope of Task 6.1 and the further use in WP6. </w:t>
      </w:r>
      <w:r w:rsidRPr="0036749F">
        <w:t xml:space="preserve">The </w:t>
      </w:r>
      <w:r w:rsidR="000979B4">
        <w:t>nine</w:t>
      </w:r>
      <w:r w:rsidRPr="0036749F">
        <w:t xml:space="preserve"> CSLs are: </w:t>
      </w:r>
    </w:p>
    <w:p w14:paraId="366ED45B" w14:textId="77777777" w:rsidR="00502555" w:rsidRPr="0036749F" w:rsidRDefault="004511EA" w:rsidP="000979B4">
      <w:pPr>
        <w:pStyle w:val="ListParagraph"/>
        <w:numPr>
          <w:ilvl w:val="0"/>
          <w:numId w:val="24"/>
        </w:numPr>
        <w:jc w:val="both"/>
        <w:rPr>
          <w:rFonts w:eastAsia="Arial" w:cs="Arial"/>
        </w:rPr>
      </w:pPr>
      <w:r>
        <w:t xml:space="preserve">Forest </w:t>
      </w:r>
      <w:proofErr w:type="spellStart"/>
      <w:r>
        <w:t>Stewarship</w:t>
      </w:r>
      <w:proofErr w:type="spellEnd"/>
      <w:r>
        <w:t xml:space="preserve"> Council (</w:t>
      </w:r>
      <w:r w:rsidR="00502555" w:rsidRPr="0036749F">
        <w:t>FSC</w:t>
      </w:r>
      <w:r>
        <w:t>)</w:t>
      </w:r>
    </w:p>
    <w:p w14:paraId="54D5738F" w14:textId="77777777" w:rsidR="00502555" w:rsidRPr="0036749F" w:rsidRDefault="00502555" w:rsidP="000979B4">
      <w:pPr>
        <w:pStyle w:val="ListParagraph"/>
        <w:numPr>
          <w:ilvl w:val="0"/>
          <w:numId w:val="24"/>
        </w:numPr>
        <w:jc w:val="both"/>
        <w:rPr>
          <w:rFonts w:eastAsia="Arial" w:cs="Arial"/>
        </w:rPr>
      </w:pPr>
      <w:r w:rsidRPr="0036749F">
        <w:t>P</w:t>
      </w:r>
      <w:r w:rsidR="00E806DA">
        <w:t>rogramme for the Endorsement of Forest Certification (P</w:t>
      </w:r>
      <w:r w:rsidRPr="0036749F">
        <w:t>EFC</w:t>
      </w:r>
      <w:r w:rsidR="00E806DA">
        <w:t>)</w:t>
      </w:r>
    </w:p>
    <w:p w14:paraId="1BBF2040" w14:textId="77777777" w:rsidR="00502555" w:rsidRPr="0036749F" w:rsidRDefault="00FE0BA6" w:rsidP="000979B4">
      <w:pPr>
        <w:pStyle w:val="ListParagraph"/>
        <w:numPr>
          <w:ilvl w:val="0"/>
          <w:numId w:val="24"/>
        </w:numPr>
        <w:jc w:val="both"/>
        <w:rPr>
          <w:rFonts w:eastAsia="Arial" w:cs="Arial"/>
        </w:rPr>
      </w:pPr>
      <w:r>
        <w:t>Sustainable Biomass Program (</w:t>
      </w:r>
      <w:r w:rsidR="00502555" w:rsidRPr="0036749F">
        <w:t>SBP</w:t>
      </w:r>
      <w:r>
        <w:t>)</w:t>
      </w:r>
    </w:p>
    <w:p w14:paraId="0E44EEED" w14:textId="77777777" w:rsidR="00502555" w:rsidRPr="0036749F" w:rsidRDefault="00502555" w:rsidP="000979B4">
      <w:pPr>
        <w:pStyle w:val="ListParagraph"/>
        <w:numPr>
          <w:ilvl w:val="0"/>
          <w:numId w:val="24"/>
        </w:numPr>
        <w:jc w:val="both"/>
        <w:rPr>
          <w:rFonts w:eastAsia="Arial" w:cs="Arial"/>
        </w:rPr>
      </w:pPr>
      <w:r w:rsidRPr="0036749F">
        <w:t xml:space="preserve">Rainforest Alliance (RA) </w:t>
      </w:r>
    </w:p>
    <w:p w14:paraId="058EAC01" w14:textId="77777777" w:rsidR="00502555" w:rsidRPr="0036749F" w:rsidRDefault="00502555" w:rsidP="000979B4">
      <w:pPr>
        <w:pStyle w:val="ListParagraph"/>
        <w:numPr>
          <w:ilvl w:val="0"/>
          <w:numId w:val="24"/>
        </w:numPr>
        <w:jc w:val="both"/>
        <w:rPr>
          <w:rFonts w:eastAsia="Arial" w:cs="Arial"/>
        </w:rPr>
      </w:pPr>
      <w:r w:rsidRPr="0036749F">
        <w:t>Global G.A.P</w:t>
      </w:r>
    </w:p>
    <w:p w14:paraId="4D6954CA" w14:textId="77777777" w:rsidR="00502555" w:rsidRPr="0036749F" w:rsidRDefault="00FE0BA6" w:rsidP="000979B4">
      <w:pPr>
        <w:pStyle w:val="ListParagraph"/>
        <w:numPr>
          <w:ilvl w:val="0"/>
          <w:numId w:val="24"/>
        </w:numPr>
        <w:jc w:val="both"/>
        <w:rPr>
          <w:rFonts w:eastAsia="Arial" w:cs="Arial"/>
        </w:rPr>
      </w:pPr>
      <w:r>
        <w:t>Roundtable o</w:t>
      </w:r>
      <w:r w:rsidR="00216C0F">
        <w:t>n</w:t>
      </w:r>
      <w:r>
        <w:t xml:space="preserve"> Sustainable Palm oil (</w:t>
      </w:r>
      <w:r w:rsidR="00502555" w:rsidRPr="0036749F">
        <w:t>RSPO</w:t>
      </w:r>
      <w:r>
        <w:t>)</w:t>
      </w:r>
    </w:p>
    <w:p w14:paraId="5CE6AC96" w14:textId="77777777" w:rsidR="00502555" w:rsidRPr="0036749F" w:rsidRDefault="00216C0F" w:rsidP="000979B4">
      <w:pPr>
        <w:pStyle w:val="ListParagraph"/>
        <w:numPr>
          <w:ilvl w:val="0"/>
          <w:numId w:val="24"/>
        </w:numPr>
        <w:jc w:val="both"/>
        <w:rPr>
          <w:rFonts w:eastAsia="Arial" w:cs="Arial"/>
        </w:rPr>
      </w:pPr>
      <w:r>
        <w:t>International Sustainability &amp;</w:t>
      </w:r>
      <w:r w:rsidR="00D4313E">
        <w:t xml:space="preserve"> Carbon Certification (</w:t>
      </w:r>
      <w:r w:rsidR="00502555" w:rsidRPr="0036749F">
        <w:t>ISCC</w:t>
      </w:r>
      <w:r w:rsidR="00D4313E">
        <w:t>)</w:t>
      </w:r>
    </w:p>
    <w:p w14:paraId="1877E337" w14:textId="77777777" w:rsidR="008A7648" w:rsidRPr="00A75BA5" w:rsidRDefault="00502555" w:rsidP="000979B4">
      <w:pPr>
        <w:pStyle w:val="ListParagraph"/>
        <w:numPr>
          <w:ilvl w:val="0"/>
          <w:numId w:val="24"/>
        </w:numPr>
        <w:jc w:val="both"/>
        <w:rPr>
          <w:rFonts w:eastAsia="Arial" w:cs="Arial"/>
        </w:rPr>
      </w:pPr>
      <w:r w:rsidRPr="0036749F">
        <w:t>Sustainable Agriculture Initiative Platform (SAI)</w:t>
      </w:r>
    </w:p>
    <w:p w14:paraId="4A547DF6" w14:textId="77777777" w:rsidR="00A75BA5" w:rsidRPr="00A75BA5" w:rsidRDefault="00A75BA5" w:rsidP="000979B4">
      <w:pPr>
        <w:pStyle w:val="ListParagraph"/>
        <w:numPr>
          <w:ilvl w:val="0"/>
          <w:numId w:val="24"/>
        </w:numPr>
        <w:jc w:val="both"/>
        <w:rPr>
          <w:rFonts w:eastAsia="Arial" w:cs="Arial"/>
        </w:rPr>
      </w:pPr>
      <w:r>
        <w:t>S</w:t>
      </w:r>
      <w:r w:rsidR="00666709">
        <w:t xml:space="preserve">ustainable </w:t>
      </w:r>
      <w:r w:rsidR="00D4313E">
        <w:t>F</w:t>
      </w:r>
      <w:r w:rsidR="00666709">
        <w:t xml:space="preserve">orestry </w:t>
      </w:r>
      <w:r w:rsidR="00D4313E">
        <w:t>I</w:t>
      </w:r>
      <w:r w:rsidR="00666709">
        <w:t>nitiative (S</w:t>
      </w:r>
      <w:r>
        <w:t>FI</w:t>
      </w:r>
      <w:r w:rsidR="00666709">
        <w:t>)</w:t>
      </w:r>
      <w:r>
        <w:t xml:space="preserve"> </w:t>
      </w:r>
    </w:p>
    <w:p w14:paraId="26711D10" w14:textId="77777777" w:rsidR="00F259C3" w:rsidRDefault="00DB03C1" w:rsidP="006956E5">
      <w:pPr>
        <w:spacing w:line="276" w:lineRule="auto"/>
        <w:jc w:val="both"/>
        <w:rPr>
          <w:rFonts w:cs="Arial"/>
          <w:lang w:val="en-US" w:eastAsia="de-DE"/>
        </w:rPr>
      </w:pPr>
      <w:r w:rsidRPr="004E15B6">
        <w:t xml:space="preserve">By comprehensively covering direct costs aspects, the current selection allows catering to a very wide selection of schemes and their comparison. </w:t>
      </w:r>
      <w:r>
        <w:t>The approach</w:t>
      </w:r>
      <w:r w:rsidRPr="004E15B6">
        <w:t xml:space="preserve"> allows additional CSLs to be added in the future. WP6 partners have been in contact with </w:t>
      </w:r>
      <w:r>
        <w:t>certification bodies</w:t>
      </w:r>
      <w:r w:rsidRPr="004E15B6">
        <w:t xml:space="preserve"> and other experts in the sister</w:t>
      </w:r>
      <w:r w:rsidR="001766CA">
        <w:t xml:space="preserve"> </w:t>
      </w:r>
      <w:r w:rsidRPr="004E15B6">
        <w:t>projects to contribute to this.</w:t>
      </w:r>
    </w:p>
    <w:p w14:paraId="5C74A85B" w14:textId="77777777" w:rsidR="00DB03C1" w:rsidRPr="00BB7522" w:rsidRDefault="00DB03C1" w:rsidP="006956E5">
      <w:pPr>
        <w:spacing w:line="276" w:lineRule="auto"/>
        <w:jc w:val="both"/>
        <w:rPr>
          <w:rFonts w:cs="Arial"/>
          <w:lang w:val="en-US" w:eastAsia="de-DE"/>
        </w:rPr>
      </w:pPr>
    </w:p>
    <w:p w14:paraId="026B9815" w14:textId="77777777" w:rsidR="006956E5" w:rsidRPr="006956E5" w:rsidRDefault="006956E5" w:rsidP="00C91120">
      <w:pPr>
        <w:pStyle w:val="Heading2"/>
      </w:pPr>
      <w:bookmarkStart w:id="8" w:name="_Toc166073774"/>
      <w:r w:rsidRPr="006956E5">
        <w:t xml:space="preserve">Quantifying </w:t>
      </w:r>
      <w:r w:rsidR="00F259C3">
        <w:t xml:space="preserve">indirect </w:t>
      </w:r>
      <w:r w:rsidRPr="006956E5">
        <w:t>cost</w:t>
      </w:r>
      <w:r w:rsidR="00F259C3">
        <w:t>s</w:t>
      </w:r>
      <w:r w:rsidRPr="006956E5">
        <w:t xml:space="preserve"> and benefits of </w:t>
      </w:r>
      <w:r w:rsidR="00F259C3">
        <w:t>certification</w:t>
      </w:r>
      <w:bookmarkEnd w:id="8"/>
      <w:r w:rsidRPr="006956E5">
        <w:t xml:space="preserve"> </w:t>
      </w:r>
    </w:p>
    <w:p w14:paraId="74B61C1E" w14:textId="77777777" w:rsidR="00EB387E" w:rsidRDefault="0006223A" w:rsidP="006956E5">
      <w:pPr>
        <w:spacing w:line="276" w:lineRule="auto"/>
        <w:jc w:val="both"/>
        <w:rPr>
          <w:rFonts w:cs="Arial"/>
          <w:lang w:eastAsia="de-DE"/>
        </w:rPr>
      </w:pPr>
      <w:r>
        <w:rPr>
          <w:rFonts w:cs="Arial"/>
          <w:lang w:val="en-US" w:eastAsia="de-DE"/>
        </w:rPr>
        <w:t>The approach to assess</w:t>
      </w:r>
      <w:r w:rsidR="006956E5">
        <w:rPr>
          <w:rFonts w:cs="Arial"/>
          <w:lang w:val="en-US" w:eastAsia="de-DE"/>
        </w:rPr>
        <w:t xml:space="preserve"> </w:t>
      </w:r>
      <w:r w:rsidR="006956E5" w:rsidRPr="00BB7522">
        <w:rPr>
          <w:rFonts w:cs="Arial"/>
          <w:i/>
          <w:iCs/>
          <w:lang w:eastAsia="de-DE"/>
        </w:rPr>
        <w:t>indirect costs and benefits</w:t>
      </w:r>
      <w:r w:rsidR="006956E5" w:rsidRPr="00BB7522">
        <w:rPr>
          <w:rFonts w:cs="Arial"/>
          <w:lang w:eastAsia="de-DE"/>
        </w:rPr>
        <w:t xml:space="preserve"> associated with meeting the sustainability criteria established by CSLs</w:t>
      </w:r>
      <w:r w:rsidR="006956E5" w:rsidRPr="00BB7522">
        <w:rPr>
          <w:rFonts w:cs="Arial"/>
          <w:lang w:val="en-US" w:eastAsia="de-DE"/>
        </w:rPr>
        <w:t xml:space="preserve"> </w:t>
      </w:r>
      <w:r w:rsidR="006956E5" w:rsidRPr="00BB7522">
        <w:rPr>
          <w:rFonts w:cs="Arial"/>
          <w:lang w:eastAsia="de-DE"/>
        </w:rPr>
        <w:t>involves conducting a literature review on the costs and benefits of certification</w:t>
      </w:r>
      <w:r w:rsidR="000950A2">
        <w:rPr>
          <w:rFonts w:cs="Arial"/>
          <w:lang w:eastAsia="de-DE"/>
        </w:rPr>
        <w:t>.</w:t>
      </w:r>
      <w:r w:rsidR="006956E5" w:rsidRPr="00BB7522">
        <w:rPr>
          <w:rFonts w:cs="Arial"/>
          <w:lang w:eastAsia="de-DE"/>
        </w:rPr>
        <w:t xml:space="preserve"> The literature review focus</w:t>
      </w:r>
      <w:r w:rsidR="00EB387E">
        <w:rPr>
          <w:rFonts w:cs="Arial"/>
          <w:lang w:eastAsia="de-DE"/>
        </w:rPr>
        <w:t>sed</w:t>
      </w:r>
      <w:r w:rsidR="006956E5" w:rsidRPr="00BB7522">
        <w:rPr>
          <w:rFonts w:cs="Arial"/>
          <w:lang w:eastAsia="de-DE"/>
        </w:rPr>
        <w:t xml:space="preserve"> on agricultural and forestry products, with specific attention given to underrepresented and relevant feedstocks such as palm oil, natural rubber, soybean, sugar cane, wood, and raw cotton. </w:t>
      </w:r>
    </w:p>
    <w:p w14:paraId="0961977A" w14:textId="77777777" w:rsidR="006956E5" w:rsidRPr="00BB7522" w:rsidRDefault="006956E5" w:rsidP="0005620C">
      <w:pPr>
        <w:spacing w:after="0" w:line="276" w:lineRule="auto"/>
        <w:jc w:val="both"/>
        <w:rPr>
          <w:rFonts w:eastAsia="Times New Roman" w:cs="Arial"/>
          <w:color w:val="000000" w:themeColor="text1"/>
          <w:lang w:eastAsia="en-GB"/>
        </w:rPr>
      </w:pPr>
      <w:r w:rsidRPr="00BB7522">
        <w:rPr>
          <w:rFonts w:cs="Arial"/>
          <w:lang w:eastAsia="de-DE"/>
        </w:rPr>
        <w:t>The review follow</w:t>
      </w:r>
      <w:r w:rsidR="00EB387E">
        <w:rPr>
          <w:rFonts w:cs="Arial"/>
          <w:lang w:eastAsia="de-DE"/>
        </w:rPr>
        <w:t>ed</w:t>
      </w:r>
      <w:r w:rsidRPr="00BB7522">
        <w:rPr>
          <w:rFonts w:cs="Arial"/>
          <w:lang w:eastAsia="de-DE"/>
        </w:rPr>
        <w:t xml:space="preserve"> </w:t>
      </w:r>
      <w:r w:rsidRPr="00BB7522">
        <w:rPr>
          <w:rFonts w:eastAsia="Times New Roman" w:cs="Arial"/>
          <w:color w:val="000000" w:themeColor="text1"/>
          <w:lang w:val="en-US" w:eastAsia="en-GB"/>
        </w:rPr>
        <w:t xml:space="preserve">a systematic approach based on the PRISMA guidelines for systematic reviews </w:t>
      </w:r>
      <w:r w:rsidRPr="00BB7522">
        <w:rPr>
          <w:rFonts w:eastAsia="Times New Roman" w:cs="Arial"/>
          <w:color w:val="000000" w:themeColor="text1"/>
          <w:shd w:val="clear" w:color="auto" w:fill="E1E3E6"/>
          <w:lang w:val="en-US" w:eastAsia="en-GB"/>
        </w:rPr>
        <w:t>(Page et al., 2021)</w:t>
      </w:r>
      <w:r w:rsidRPr="00BB7522">
        <w:rPr>
          <w:rFonts w:eastAsia="Times New Roman" w:cs="Arial"/>
          <w:color w:val="000000" w:themeColor="text1"/>
          <w:lang w:val="en-US" w:eastAsia="en-GB"/>
        </w:rPr>
        <w:t xml:space="preserve">. Different </w:t>
      </w:r>
      <w:r w:rsidR="004066AE">
        <w:rPr>
          <w:rFonts w:eastAsia="Times New Roman" w:cs="Arial"/>
          <w:color w:val="000000" w:themeColor="text1"/>
          <w:lang w:val="en-US" w:eastAsia="en-GB"/>
        </w:rPr>
        <w:t xml:space="preserve">scientific publication </w:t>
      </w:r>
      <w:r w:rsidRPr="00BB7522">
        <w:rPr>
          <w:rFonts w:eastAsia="Times New Roman" w:cs="Arial"/>
          <w:color w:val="000000" w:themeColor="text1"/>
          <w:lang w:val="en-US" w:eastAsia="en-GB"/>
        </w:rPr>
        <w:t xml:space="preserve">databases </w:t>
      </w:r>
      <w:r w:rsidR="004066AE">
        <w:rPr>
          <w:rFonts w:eastAsia="Times New Roman" w:cs="Arial"/>
          <w:color w:val="000000" w:themeColor="text1"/>
          <w:lang w:val="en-US" w:eastAsia="en-GB"/>
        </w:rPr>
        <w:t>were</w:t>
      </w:r>
      <w:r w:rsidRPr="00BB7522">
        <w:rPr>
          <w:rFonts w:eastAsia="Times New Roman" w:cs="Arial"/>
          <w:color w:val="000000" w:themeColor="text1"/>
          <w:lang w:val="en-US" w:eastAsia="en-GB"/>
        </w:rPr>
        <w:t xml:space="preserve"> scanned to find relevant studies. The eligibility of the studies </w:t>
      </w:r>
      <w:r w:rsidR="01048688">
        <w:rPr>
          <w:rFonts w:eastAsia="Times New Roman" w:cs="Arial"/>
          <w:color w:val="000000" w:themeColor="text1"/>
          <w:lang w:val="en-US" w:eastAsia="en-GB"/>
        </w:rPr>
        <w:t>was</w:t>
      </w:r>
      <w:r w:rsidRPr="00BB7522">
        <w:rPr>
          <w:rFonts w:eastAsia="Times New Roman" w:cs="Arial"/>
          <w:color w:val="000000" w:themeColor="text1"/>
          <w:lang w:val="en-US" w:eastAsia="en-GB"/>
        </w:rPr>
        <w:t xml:space="preserve"> determined in two phases (scanning titles and abstracts, and full-text reading) based on a set of inclusion criteria</w:t>
      </w:r>
      <w:r w:rsidR="000950A2">
        <w:rPr>
          <w:rFonts w:eastAsia="Times New Roman" w:cs="Arial"/>
          <w:color w:val="000000" w:themeColor="text1"/>
          <w:lang w:val="en-US" w:eastAsia="en-GB"/>
        </w:rPr>
        <w:t>:</w:t>
      </w:r>
      <w:r w:rsidRPr="00BB7522">
        <w:rPr>
          <w:rFonts w:eastAsia="Times New Roman" w:cs="Arial"/>
          <w:color w:val="000000" w:themeColor="text1"/>
          <w:lang w:eastAsia="en-GB"/>
        </w:rPr>
        <w:t> </w:t>
      </w:r>
    </w:p>
    <w:p w14:paraId="7FFCCF00" w14:textId="77777777" w:rsidR="00D46A22" w:rsidRPr="00D46A22" w:rsidRDefault="00D46A22" w:rsidP="0005620C">
      <w:pPr>
        <w:numPr>
          <w:ilvl w:val="0"/>
          <w:numId w:val="21"/>
        </w:numPr>
        <w:spacing w:after="0" w:line="276" w:lineRule="auto"/>
        <w:ind w:left="1066" w:hanging="709"/>
        <w:jc w:val="both"/>
        <w:textAlignment w:val="baseline"/>
        <w:rPr>
          <w:rFonts w:eastAsia="Times New Roman" w:cs="Arial"/>
          <w:color w:val="000000" w:themeColor="text1"/>
          <w:lang w:eastAsia="en-GB"/>
        </w:rPr>
      </w:pPr>
      <w:r w:rsidRPr="00D46A22">
        <w:rPr>
          <w:rFonts w:eastAsia="Times New Roman" w:cs="Arial"/>
          <w:color w:val="000000" w:themeColor="text1"/>
          <w:lang w:eastAsia="en-GB"/>
        </w:rPr>
        <w:t>Peer-reviewed scientific papers (quantitative and qualitative original studies and review papers</w:t>
      </w:r>
      <w:proofErr w:type="gramStart"/>
      <w:r w:rsidRPr="00D46A22">
        <w:rPr>
          <w:rFonts w:eastAsia="Times New Roman" w:cs="Arial"/>
          <w:color w:val="000000" w:themeColor="text1"/>
          <w:lang w:eastAsia="en-GB"/>
        </w:rPr>
        <w:t>);</w:t>
      </w:r>
      <w:proofErr w:type="gramEnd"/>
    </w:p>
    <w:p w14:paraId="209E2F3C" w14:textId="77777777" w:rsidR="00D46A22" w:rsidRPr="00D46A22" w:rsidRDefault="00D46A22" w:rsidP="0005620C">
      <w:pPr>
        <w:numPr>
          <w:ilvl w:val="0"/>
          <w:numId w:val="21"/>
        </w:numPr>
        <w:spacing w:after="0" w:line="276" w:lineRule="auto"/>
        <w:ind w:left="1066" w:hanging="709"/>
        <w:jc w:val="both"/>
        <w:textAlignment w:val="baseline"/>
        <w:rPr>
          <w:rFonts w:eastAsia="Times New Roman" w:cs="Arial"/>
          <w:color w:val="000000" w:themeColor="text1"/>
          <w:lang w:eastAsia="en-GB"/>
        </w:rPr>
      </w:pPr>
      <w:r w:rsidRPr="00D46A22">
        <w:rPr>
          <w:rFonts w:eastAsia="Times New Roman" w:cs="Arial"/>
          <w:color w:val="000000" w:themeColor="text1"/>
          <w:lang w:eastAsia="en-GB"/>
        </w:rPr>
        <w:t>Publications with main text in English (publications with title and abstract in English but main text in a different language were not included</w:t>
      </w:r>
      <w:proofErr w:type="gramStart"/>
      <w:r w:rsidRPr="00D46A22">
        <w:rPr>
          <w:rFonts w:eastAsia="Times New Roman" w:cs="Arial"/>
          <w:color w:val="000000" w:themeColor="text1"/>
          <w:lang w:eastAsia="en-GB"/>
        </w:rPr>
        <w:t>);</w:t>
      </w:r>
      <w:proofErr w:type="gramEnd"/>
    </w:p>
    <w:p w14:paraId="6F86CA90" w14:textId="77777777" w:rsidR="00D46A22" w:rsidRPr="00D46A22" w:rsidRDefault="00D46A22" w:rsidP="0005620C">
      <w:pPr>
        <w:numPr>
          <w:ilvl w:val="0"/>
          <w:numId w:val="21"/>
        </w:numPr>
        <w:spacing w:after="0" w:line="276" w:lineRule="auto"/>
        <w:ind w:left="1066" w:hanging="709"/>
        <w:jc w:val="both"/>
        <w:textAlignment w:val="baseline"/>
        <w:rPr>
          <w:rFonts w:eastAsia="Times New Roman" w:cs="Arial"/>
          <w:color w:val="000000" w:themeColor="text1"/>
          <w:lang w:eastAsia="en-GB"/>
        </w:rPr>
      </w:pPr>
      <w:r w:rsidRPr="00D46A22">
        <w:rPr>
          <w:rFonts w:eastAsia="Times New Roman" w:cs="Arial"/>
          <w:color w:val="000000" w:themeColor="text1"/>
          <w:lang w:eastAsia="en-GB"/>
        </w:rPr>
        <w:t xml:space="preserve">Published between 2005 and </w:t>
      </w:r>
      <w:proofErr w:type="gramStart"/>
      <w:r w:rsidRPr="00D46A22">
        <w:rPr>
          <w:rFonts w:eastAsia="Times New Roman" w:cs="Arial"/>
          <w:color w:val="000000" w:themeColor="text1"/>
          <w:lang w:eastAsia="en-GB"/>
        </w:rPr>
        <w:t>2023;</w:t>
      </w:r>
      <w:proofErr w:type="gramEnd"/>
    </w:p>
    <w:p w14:paraId="2115F83E" w14:textId="77777777" w:rsidR="00D46A22" w:rsidRPr="00D46A22" w:rsidRDefault="00D46A22" w:rsidP="0005620C">
      <w:pPr>
        <w:numPr>
          <w:ilvl w:val="0"/>
          <w:numId w:val="21"/>
        </w:numPr>
        <w:spacing w:after="0" w:line="276" w:lineRule="auto"/>
        <w:ind w:left="1066" w:hanging="709"/>
        <w:jc w:val="both"/>
        <w:textAlignment w:val="baseline"/>
        <w:rPr>
          <w:rFonts w:eastAsia="Times New Roman" w:cs="Arial"/>
          <w:color w:val="000000" w:themeColor="text1"/>
          <w:lang w:eastAsia="en-GB"/>
        </w:rPr>
      </w:pPr>
      <w:r w:rsidRPr="00D46A22">
        <w:rPr>
          <w:rFonts w:eastAsia="Times New Roman" w:cs="Arial"/>
          <w:color w:val="000000" w:themeColor="text1"/>
          <w:lang w:eastAsia="en-GB"/>
        </w:rPr>
        <w:t xml:space="preserve">Covering economic and/or social impacts of </w:t>
      </w:r>
      <w:proofErr w:type="gramStart"/>
      <w:r w:rsidRPr="00D46A22">
        <w:rPr>
          <w:rFonts w:eastAsia="Times New Roman" w:cs="Arial"/>
          <w:color w:val="000000" w:themeColor="text1"/>
          <w:lang w:eastAsia="en-GB"/>
        </w:rPr>
        <w:t>certification;</w:t>
      </w:r>
      <w:proofErr w:type="gramEnd"/>
    </w:p>
    <w:p w14:paraId="62E114CC" w14:textId="77777777" w:rsidR="00D46A22" w:rsidRPr="00D46A22" w:rsidRDefault="00D46A22" w:rsidP="0005620C">
      <w:pPr>
        <w:numPr>
          <w:ilvl w:val="0"/>
          <w:numId w:val="21"/>
        </w:numPr>
        <w:spacing w:after="0" w:line="276" w:lineRule="auto"/>
        <w:ind w:left="1066" w:hanging="709"/>
        <w:jc w:val="both"/>
        <w:textAlignment w:val="baseline"/>
        <w:rPr>
          <w:rFonts w:eastAsia="Times New Roman" w:cs="Arial"/>
          <w:color w:val="000000" w:themeColor="text1"/>
          <w:lang w:eastAsia="en-GB"/>
        </w:rPr>
      </w:pPr>
      <w:r w:rsidRPr="00D46A22">
        <w:rPr>
          <w:rFonts w:eastAsia="Times New Roman" w:cs="Arial"/>
          <w:color w:val="000000" w:themeColor="text1"/>
          <w:lang w:eastAsia="en-GB"/>
        </w:rPr>
        <w:t>Covering at least one of the selected feedstocks and/or related value chains (palm oil, maize, natural rubber, soybean, sugar cane, wood, raw cotton).</w:t>
      </w:r>
    </w:p>
    <w:p w14:paraId="6FE7D1BD" w14:textId="77777777" w:rsidR="0005620C" w:rsidRDefault="0005620C" w:rsidP="006956E5">
      <w:pPr>
        <w:spacing w:line="276" w:lineRule="auto"/>
        <w:jc w:val="both"/>
        <w:textAlignment w:val="baseline"/>
        <w:rPr>
          <w:rFonts w:eastAsia="Times New Roman" w:cs="Arial"/>
          <w:color w:val="000000" w:themeColor="text1"/>
          <w:lang w:val="en-US" w:eastAsia="en-GB"/>
        </w:rPr>
      </w:pPr>
    </w:p>
    <w:p w14:paraId="2B6634A0" w14:textId="77777777" w:rsidR="006956E5" w:rsidRPr="00BB7522" w:rsidRDefault="006956E5" w:rsidP="006956E5">
      <w:pPr>
        <w:spacing w:line="276" w:lineRule="auto"/>
        <w:jc w:val="both"/>
        <w:textAlignment w:val="baseline"/>
        <w:rPr>
          <w:rFonts w:eastAsia="Times New Roman" w:cs="Arial"/>
          <w:color w:val="000000" w:themeColor="text1"/>
          <w:lang w:eastAsia="en-GB"/>
        </w:rPr>
      </w:pPr>
      <w:r w:rsidRPr="00BB7522">
        <w:rPr>
          <w:rFonts w:eastAsia="Times New Roman" w:cs="Arial"/>
          <w:color w:val="000000" w:themeColor="text1"/>
          <w:lang w:val="en-US" w:eastAsia="en-GB"/>
        </w:rPr>
        <w:t xml:space="preserve">Both qualitative and quantitative papers </w:t>
      </w:r>
      <w:r w:rsidR="000950A2">
        <w:rPr>
          <w:rFonts w:eastAsia="Times New Roman" w:cs="Arial"/>
          <w:color w:val="000000" w:themeColor="text1"/>
          <w:lang w:val="en-US" w:eastAsia="en-GB"/>
        </w:rPr>
        <w:t>were</w:t>
      </w:r>
      <w:r w:rsidRPr="00BB7522">
        <w:rPr>
          <w:rFonts w:eastAsia="Times New Roman" w:cs="Arial"/>
          <w:color w:val="000000" w:themeColor="text1"/>
          <w:lang w:val="en-US" w:eastAsia="en-GB"/>
        </w:rPr>
        <w:t xml:space="preserve"> included</w:t>
      </w:r>
      <w:r w:rsidR="184C9A1F" w:rsidRPr="01FF54DE">
        <w:rPr>
          <w:rFonts w:eastAsia="Times New Roman" w:cs="Arial"/>
          <w:color w:val="000000" w:themeColor="text1"/>
          <w:lang w:val="en-US" w:eastAsia="en-GB"/>
        </w:rPr>
        <w:t>,</w:t>
      </w:r>
      <w:r w:rsidRPr="00BB7522">
        <w:rPr>
          <w:rFonts w:eastAsia="Times New Roman" w:cs="Arial"/>
          <w:color w:val="000000" w:themeColor="text1"/>
          <w:lang w:val="en-US" w:eastAsia="en-GB"/>
        </w:rPr>
        <w:t xml:space="preserve"> and </w:t>
      </w:r>
      <w:r w:rsidR="00BD24C6">
        <w:rPr>
          <w:rFonts w:eastAsia="Times New Roman" w:cs="Arial"/>
          <w:color w:val="000000" w:themeColor="text1"/>
          <w:lang w:val="en-US" w:eastAsia="en-GB"/>
        </w:rPr>
        <w:t xml:space="preserve">relevant information was extracted. </w:t>
      </w:r>
      <w:proofErr w:type="gramStart"/>
      <w:r w:rsidR="00680F60">
        <w:rPr>
          <w:rFonts w:eastAsia="Times New Roman" w:cs="Arial"/>
          <w:color w:val="000000" w:themeColor="text1"/>
          <w:lang w:val="en-US" w:eastAsia="en-GB"/>
        </w:rPr>
        <w:t xml:space="preserve">In particular, </w:t>
      </w:r>
      <w:r w:rsidR="00185B7F" w:rsidRPr="00185B7F">
        <w:rPr>
          <w:rFonts w:eastAsia="Times New Roman" w:cs="Arial"/>
          <w:color w:val="000000" w:themeColor="text1"/>
          <w:lang w:eastAsia="en-GB"/>
        </w:rPr>
        <w:t>authors</w:t>
      </w:r>
      <w:proofErr w:type="gramEnd"/>
      <w:r w:rsidR="00185B7F" w:rsidRPr="00185B7F">
        <w:rPr>
          <w:rFonts w:eastAsia="Times New Roman" w:cs="Arial"/>
          <w:color w:val="000000" w:themeColor="text1"/>
          <w:lang w:eastAsia="en-GB"/>
        </w:rPr>
        <w:t xml:space="preserve">, publication year, study type, data collection and analysis method, covered regions, feedstocks, and more, was extracted and stored in a dataset for further analysis. Most studies examined the effects of certification on different variables, such as farm income, yields, production costs, input costs, </w:t>
      </w:r>
      <w:r w:rsidR="76AA8E9A" w:rsidRPr="01FF54DE">
        <w:rPr>
          <w:rFonts w:eastAsia="Times New Roman" w:cs="Arial"/>
          <w:color w:val="000000" w:themeColor="text1"/>
          <w:lang w:eastAsia="en-GB"/>
        </w:rPr>
        <w:t>workers'</w:t>
      </w:r>
      <w:r w:rsidR="00185B7F" w:rsidRPr="00185B7F">
        <w:rPr>
          <w:rFonts w:eastAsia="Times New Roman" w:cs="Arial"/>
          <w:color w:val="000000" w:themeColor="text1"/>
          <w:lang w:eastAsia="en-GB"/>
        </w:rPr>
        <w:t xml:space="preserve"> wages, and so on. These variables were aggregated into outcome categories. The economic outcome categories were cost, revenue, income, productivity, price, and market access. The social ones were education, health, poverty reduction, labour condition, and well-being.</w:t>
      </w:r>
    </w:p>
    <w:p w14:paraId="0AFDA66F" w14:textId="77777777" w:rsidR="006956E5" w:rsidRPr="00BB7522" w:rsidRDefault="000F228E" w:rsidP="006956E5">
      <w:pPr>
        <w:spacing w:line="276" w:lineRule="auto"/>
        <w:jc w:val="both"/>
        <w:textAlignment w:val="baseline"/>
        <w:rPr>
          <w:rFonts w:eastAsia="Times New Roman" w:cs="Arial"/>
          <w:color w:val="000000" w:themeColor="text1"/>
          <w:lang w:eastAsia="en-GB"/>
        </w:rPr>
      </w:pPr>
      <w:r w:rsidRPr="000F228E">
        <w:rPr>
          <w:rFonts w:eastAsia="Times New Roman" w:cs="Arial"/>
          <w:color w:val="000000" w:themeColor="text1"/>
          <w:lang w:eastAsia="en-GB"/>
        </w:rPr>
        <w:t>The impacts of certification were reported differently in different studies. The quantitative studies often presented numerical values for outcome categories for certified and uncertified products; for instance, farm income reported for the certified farm and for a comparable uncertified one, used as a counterfactual. In these cases, the difference between the two values was used to determine whether certification entailed an increase, decrease, or no effect on the outcome category.</w:t>
      </w:r>
      <w:r w:rsidR="003535BD">
        <w:rPr>
          <w:rFonts w:eastAsia="Times New Roman" w:cs="Arial"/>
          <w:color w:val="000000" w:themeColor="text1"/>
          <w:lang w:eastAsia="en-GB"/>
        </w:rPr>
        <w:t xml:space="preserve"> </w:t>
      </w:r>
      <w:r w:rsidR="003535BD" w:rsidRPr="003535BD">
        <w:rPr>
          <w:rFonts w:eastAsia="Times New Roman" w:cs="Arial"/>
          <w:color w:val="000000" w:themeColor="text1"/>
          <w:lang w:eastAsia="en-GB"/>
        </w:rPr>
        <w:t xml:space="preserve">Some qualitative studies also allowed to extract </w:t>
      </w:r>
      <w:r w:rsidR="00F16CCD">
        <w:rPr>
          <w:rFonts w:eastAsia="Times New Roman" w:cs="Arial"/>
          <w:color w:val="000000" w:themeColor="text1"/>
          <w:lang w:eastAsia="en-GB"/>
        </w:rPr>
        <w:t>similar data</w:t>
      </w:r>
      <w:r w:rsidR="003535BD" w:rsidRPr="003535BD">
        <w:rPr>
          <w:rFonts w:eastAsia="Times New Roman" w:cs="Arial"/>
          <w:color w:val="000000" w:themeColor="text1"/>
          <w:lang w:eastAsia="en-GB"/>
        </w:rPr>
        <w:t xml:space="preserve">; </w:t>
      </w:r>
      <w:r w:rsidR="00F16CCD">
        <w:rPr>
          <w:rFonts w:eastAsia="Times New Roman" w:cs="Arial"/>
          <w:color w:val="000000" w:themeColor="text1"/>
          <w:lang w:eastAsia="en-GB"/>
        </w:rPr>
        <w:t xml:space="preserve">here, </w:t>
      </w:r>
      <w:r w:rsidR="003535BD" w:rsidRPr="003535BD">
        <w:rPr>
          <w:rFonts w:eastAsia="Times New Roman" w:cs="Arial"/>
          <w:color w:val="000000" w:themeColor="text1"/>
          <w:lang w:eastAsia="en-GB"/>
        </w:rPr>
        <w:t>the impacts of certification on outcome categories were not reported numerically but were described in terms of increase, decrease, or no effects after certification. In these cases, they were treated as the quantitative ones and inserted in the dataset.</w:t>
      </w:r>
      <w:r w:rsidR="00FB586B">
        <w:rPr>
          <w:rFonts w:eastAsia="Times New Roman" w:cs="Arial"/>
          <w:color w:val="000000" w:themeColor="text1"/>
          <w:lang w:eastAsia="en-GB"/>
        </w:rPr>
        <w:t xml:space="preserve"> </w:t>
      </w:r>
      <w:r w:rsidR="00FB586B" w:rsidRPr="00FB586B">
        <w:rPr>
          <w:rFonts w:eastAsia="Times New Roman" w:cs="Arial"/>
          <w:color w:val="000000" w:themeColor="text1"/>
          <w:lang w:eastAsia="en-GB"/>
        </w:rPr>
        <w:t>The data inserted in the dataset were further analysed by determining how many observations reported an increase, decrease, or no impacts of certification for each outcome category.</w:t>
      </w:r>
    </w:p>
    <w:p w14:paraId="3FE6AEAA" w14:textId="77777777" w:rsidR="006956E5" w:rsidRPr="006956E5" w:rsidRDefault="006956E5" w:rsidP="006956E5"/>
    <w:p w14:paraId="0FC78E65" w14:textId="77777777" w:rsidR="006956E5" w:rsidRDefault="006956E5" w:rsidP="00DD0BFD">
      <w:pPr>
        <w:pStyle w:val="Heading1"/>
      </w:pPr>
      <w:bookmarkStart w:id="9" w:name="_Toc166073775"/>
      <w:r>
        <w:t>Findings</w:t>
      </w:r>
      <w:bookmarkEnd w:id="9"/>
    </w:p>
    <w:p w14:paraId="75AE7BF9" w14:textId="77777777" w:rsidR="00C91120" w:rsidRDefault="00C91120" w:rsidP="00560DAD">
      <w:pPr>
        <w:pStyle w:val="Heading2"/>
      </w:pPr>
      <w:bookmarkStart w:id="10" w:name="_Toc166073776"/>
      <w:r>
        <w:t>Database with (in)direct costs and benefits</w:t>
      </w:r>
      <w:r w:rsidR="00D34AA6">
        <w:t xml:space="preserve"> of certification</w:t>
      </w:r>
      <w:bookmarkEnd w:id="10"/>
    </w:p>
    <w:p w14:paraId="41D70401" w14:textId="77777777" w:rsidR="00C91120" w:rsidRDefault="00C91120" w:rsidP="00D4313E">
      <w:pPr>
        <w:jc w:val="both"/>
      </w:pPr>
      <w:r>
        <w:t xml:space="preserve">The data </w:t>
      </w:r>
      <w:r w:rsidR="002A16D9">
        <w:t xml:space="preserve">on the direct and indirect costs of certification and the associated benefits were collected and organised in a database. </w:t>
      </w:r>
      <w:r w:rsidR="00D945D3">
        <w:t>The database</w:t>
      </w:r>
      <w:r w:rsidR="002A16D9">
        <w:t xml:space="preserve"> is downloadable in </w:t>
      </w:r>
      <w:hyperlink w:anchor="_Database" w:history="1">
        <w:r w:rsidR="002A16D9" w:rsidRPr="002A16D9">
          <w:rPr>
            <w:rStyle w:val="Hyperlink"/>
          </w:rPr>
          <w:t>Section 7.1</w:t>
        </w:r>
      </w:hyperlink>
      <w:r w:rsidR="002A16D9">
        <w:t xml:space="preserve"> of this report. </w:t>
      </w:r>
      <w:r w:rsidR="00D945D3">
        <w:t>The file is organised in 4 Excel sheets:</w:t>
      </w:r>
    </w:p>
    <w:p w14:paraId="70C180A3" w14:textId="77777777" w:rsidR="00D945D3" w:rsidRDefault="00D945D3" w:rsidP="00D4313E">
      <w:pPr>
        <w:pStyle w:val="ListParagraph"/>
        <w:numPr>
          <w:ilvl w:val="0"/>
          <w:numId w:val="22"/>
        </w:numPr>
        <w:jc w:val="both"/>
      </w:pPr>
      <w:proofErr w:type="spellStart"/>
      <w:r>
        <w:t>Read_</w:t>
      </w:r>
      <w:proofErr w:type="gramStart"/>
      <w:r>
        <w:t>me</w:t>
      </w:r>
      <w:proofErr w:type="spellEnd"/>
      <w:r>
        <w:t>:</w:t>
      </w:r>
      <w:proofErr w:type="gramEnd"/>
      <w:r>
        <w:t xml:space="preserve"> provides general information on the database and definitions of cost categories, as well as a </w:t>
      </w:r>
      <w:r w:rsidR="39698AAA">
        <w:t>brief</w:t>
      </w:r>
      <w:r>
        <w:t xml:space="preserve"> description of how the data were collected</w:t>
      </w:r>
      <w:r w:rsidR="00080330">
        <w:t>.</w:t>
      </w:r>
    </w:p>
    <w:p w14:paraId="4A70EB18" w14:textId="77777777" w:rsidR="00D945D3" w:rsidRDefault="005B38BE" w:rsidP="00D4313E">
      <w:pPr>
        <w:pStyle w:val="ListParagraph"/>
        <w:numPr>
          <w:ilvl w:val="0"/>
          <w:numId w:val="22"/>
        </w:numPr>
        <w:jc w:val="both"/>
      </w:pPr>
      <w:r>
        <w:t xml:space="preserve">Direct costs </w:t>
      </w:r>
      <w:proofErr w:type="gramStart"/>
      <w:r>
        <w:t>calculator:</w:t>
      </w:r>
      <w:proofErr w:type="gramEnd"/>
      <w:r>
        <w:t xml:space="preserve"> contains a tool that allows to calculate the direct costs of certification for different combinations of CSL, supply chain element, region, </w:t>
      </w:r>
      <w:r w:rsidR="00080330">
        <w:t>individual or group certification, feedstock category, and feedstock.</w:t>
      </w:r>
    </w:p>
    <w:p w14:paraId="68F7D78D" w14:textId="77777777" w:rsidR="00080330" w:rsidRDefault="00080330" w:rsidP="00D4313E">
      <w:pPr>
        <w:pStyle w:val="ListParagraph"/>
        <w:numPr>
          <w:ilvl w:val="0"/>
          <w:numId w:val="22"/>
        </w:numPr>
        <w:jc w:val="both"/>
      </w:pPr>
      <w:r>
        <w:t xml:space="preserve">Direct costs: provides the data collected </w:t>
      </w:r>
      <w:r w:rsidR="00F96707">
        <w:t xml:space="preserve">on the direct costs of </w:t>
      </w:r>
      <w:proofErr w:type="gramStart"/>
      <w:r w:rsidR="00F96707">
        <w:t>certification</w:t>
      </w:r>
      <w:proofErr w:type="gramEnd"/>
    </w:p>
    <w:p w14:paraId="07152247" w14:textId="77777777" w:rsidR="00F96707" w:rsidRDefault="00F96707" w:rsidP="00D4313E">
      <w:pPr>
        <w:pStyle w:val="ListParagraph"/>
        <w:numPr>
          <w:ilvl w:val="0"/>
          <w:numId w:val="22"/>
        </w:numPr>
        <w:jc w:val="both"/>
      </w:pPr>
      <w:r>
        <w:t xml:space="preserve">Indirect costs, </w:t>
      </w:r>
      <w:proofErr w:type="gramStart"/>
      <w:r>
        <w:t>benefits:</w:t>
      </w:r>
      <w:proofErr w:type="gramEnd"/>
      <w:r>
        <w:t xml:space="preserve"> provides the data collected from scientific literature on the indirect costs of certification and certification benefits. </w:t>
      </w:r>
    </w:p>
    <w:p w14:paraId="50D0C067" w14:textId="77777777" w:rsidR="00D17743" w:rsidRPr="00C91120" w:rsidRDefault="00D17743" w:rsidP="00D17743">
      <w:pPr>
        <w:jc w:val="both"/>
      </w:pPr>
    </w:p>
    <w:p w14:paraId="73721B9D" w14:textId="77777777" w:rsidR="00A01447" w:rsidRPr="0023381E" w:rsidRDefault="00A01447" w:rsidP="00C91120">
      <w:pPr>
        <w:pStyle w:val="Heading2"/>
      </w:pPr>
      <w:bookmarkStart w:id="11" w:name="_Toc166073777"/>
      <w:r>
        <w:t>Direct costs</w:t>
      </w:r>
      <w:bookmarkEnd w:id="11"/>
    </w:p>
    <w:p w14:paraId="7B9A3AF6" w14:textId="77777777" w:rsidR="007B42D3" w:rsidRDefault="007B42D3" w:rsidP="00D4313E">
      <w:pPr>
        <w:jc w:val="both"/>
      </w:pPr>
      <w:r>
        <w:t xml:space="preserve">The process of collecting direct cost data uncovered several challenges in data acquisition, primarily stemming from discrepancies in the definitions of cost items employed by different CSLs and CBs, which operate with distinct accounting procedures. Despite these obstacles, key cost categories such as application fees, auditing costs, and administrative expenses were identified. </w:t>
      </w:r>
    </w:p>
    <w:p w14:paraId="66D4E2FB" w14:textId="77777777" w:rsidR="007B42D3" w:rsidRDefault="007B42D3" w:rsidP="00D4313E">
      <w:pPr>
        <w:jc w:val="both"/>
      </w:pPr>
      <w:r>
        <w:t xml:space="preserve">By implementing a standardised framework for cost categorization, the comparability and collection of direct cost data across various schemes have been significantly facilitated. This comprehensive mapping exercise has allowed for a nuanced comparison of cost structures across different certification schemes, serving as a foundation for efforts aimed at streamlining and harmonising these structures. </w:t>
      </w:r>
    </w:p>
    <w:p w14:paraId="10149B84" w14:textId="77777777" w:rsidR="00A01447" w:rsidRDefault="007B42D3" w:rsidP="00D4313E">
      <w:pPr>
        <w:jc w:val="both"/>
      </w:pPr>
      <w:r>
        <w:t>The insights gained from this process will contribute to a more methodical approach to collecting direct cost data within certification schemes, ultimately fostering enhanced transparency, comparability, and efficiency in cost management across the certification industry to the benefit of the users of certification schemes.</w:t>
      </w:r>
    </w:p>
    <w:p w14:paraId="019ED2C0" w14:textId="77777777" w:rsidR="00C0268D" w:rsidRDefault="00C0268D" w:rsidP="00D4313E">
      <w:pPr>
        <w:jc w:val="both"/>
      </w:pPr>
    </w:p>
    <w:p w14:paraId="4507C147" w14:textId="77777777" w:rsidR="00A01447" w:rsidRPr="0023381E" w:rsidRDefault="00D17743" w:rsidP="004B6CE3">
      <w:pPr>
        <w:pStyle w:val="Heading3"/>
      </w:pPr>
      <w:bookmarkStart w:id="12" w:name="_Toc166073778"/>
      <w:r>
        <w:t xml:space="preserve"> </w:t>
      </w:r>
      <w:r w:rsidR="00A01447">
        <w:t>Cost categories and averages prices</w:t>
      </w:r>
      <w:bookmarkEnd w:id="12"/>
    </w:p>
    <w:p w14:paraId="558E9D1B" w14:textId="77777777" w:rsidR="00753E8F" w:rsidRDefault="00753E8F" w:rsidP="00D4313E">
      <w:pPr>
        <w:jc w:val="both"/>
      </w:pPr>
      <w:r>
        <w:t>The Task 6.1 data spreadsheet commenced with the ISCC scheme, which two of the Task 6.1 partners were very familiar with, and then additional rows and cost items were incorporated for the CSLs that were not adequately covered by the initial categories. An early observation from the data collection process was the distinct pricing structures deployed by different CSLs, posing challenges in comparing cost items across various schemes. Although definitive recommendations were premature at this stage, there was potential to align categories within certification to enhance comparability of costs and overall scheme characteristics.</w:t>
      </w:r>
      <w:r w:rsidR="007F7582">
        <w:t xml:space="preserve"> </w:t>
      </w:r>
      <w:r w:rsidR="007F7582">
        <w:fldChar w:fldCharType="begin"/>
      </w:r>
      <w:r w:rsidR="007F7582">
        <w:instrText xml:space="preserve"> REF _Ref167451776 \h </w:instrText>
      </w:r>
      <w:r w:rsidR="007F7582">
        <w:fldChar w:fldCharType="separate"/>
      </w:r>
      <w:r w:rsidR="005F7B06">
        <w:t xml:space="preserve">Table </w:t>
      </w:r>
      <w:r w:rsidR="005F7B06">
        <w:rPr>
          <w:noProof/>
        </w:rPr>
        <w:t>2</w:t>
      </w:r>
      <w:r w:rsidR="007F7582">
        <w:fldChar w:fldCharType="end"/>
      </w:r>
      <w:r w:rsidR="007F7582">
        <w:t xml:space="preserve"> provides an overview of the final</w:t>
      </w:r>
      <w:r w:rsidR="003D72A2">
        <w:t xml:space="preserve"> categories of direct costs applied in the database.</w:t>
      </w:r>
    </w:p>
    <w:p w14:paraId="5B2DF1B8" w14:textId="77777777" w:rsidR="00753E8F" w:rsidRDefault="00753E8F" w:rsidP="00D4313E">
      <w:pPr>
        <w:jc w:val="both"/>
      </w:pPr>
      <w:r>
        <w:t>Regarding data collection, initial discussions among Task 6.1 partners revolved around determining which group of stakeholders was required to obtain the desired information on direct costs. The Task 6.1 team decided early on against pursuing data directly from certificate holders due to perceived time and resource constraints. Another approach considered was approaching CSL owners to request information on costs charged to users of the certification schemes. However, it was unclear whether CSL owners possessed comprehensive information on the cost structures imposed by certification bodies on certificate holders. Concurrently, the Task 6.1 team comprised three certification bodies with access to the necessary information, albeit for a limited number of CSLs.</w:t>
      </w:r>
    </w:p>
    <w:p w14:paraId="0C9F02AD" w14:textId="77777777" w:rsidR="00753E8F" w:rsidRDefault="00753E8F" w:rsidP="00D4313E">
      <w:pPr>
        <w:jc w:val="both"/>
      </w:pPr>
      <w:r>
        <w:t>An important point of internal discussion among Task 6.1 partners was the confidentiality of cost data related to auditing fees. Direct cost information associated with certification is typically considered market-sensitive and not publicly disclosed by certification bodies. Consequently, the team opted to use ranges</w:t>
      </w:r>
      <w:r w:rsidR="00CB4E31">
        <w:t xml:space="preserve"> and average values</w:t>
      </w:r>
      <w:r>
        <w:t xml:space="preserve"> instead of precise figures to estimate costs, aiming to maintain confidentiality while gathering direct cost data for the cost-benefit analysis.</w:t>
      </w:r>
    </w:p>
    <w:p w14:paraId="4B3670BA" w14:textId="77777777" w:rsidR="00753E8F" w:rsidRDefault="00753E8F" w:rsidP="00D4313E">
      <w:pPr>
        <w:jc w:val="both"/>
      </w:pPr>
      <w:r>
        <w:t>A potential source of bias in validating the cost data stemmed from differences in CSL proliferation based on the number of certificate holders, with contributing partners certifying varying numbers of companies in their portfolios. Consequently, Task 6.1 established a minimum threshold for sample data, requiring contributing partners to certify at least ten companies for their data to be included in the database.</w:t>
      </w:r>
    </w:p>
    <w:p w14:paraId="028F6D29" w14:textId="77777777" w:rsidR="00A01447" w:rsidRDefault="00A01447" w:rsidP="00A01447">
      <w:pPr>
        <w:shd w:val="clear" w:color="auto" w:fill="FFFFFF"/>
        <w:ind w:left="-284"/>
        <w:rPr>
          <w:lang w:val="en-US"/>
        </w:rPr>
      </w:pPr>
      <w:r w:rsidRPr="0011535D">
        <w:rPr>
          <w:lang w:val="en-US"/>
        </w:rPr>
        <w:t xml:space="preserve"> </w:t>
      </w:r>
    </w:p>
    <w:p w14:paraId="535B6C59" w14:textId="77777777" w:rsidR="00DB3FD6" w:rsidRDefault="00DB3FD6" w:rsidP="00886ED6">
      <w:pPr>
        <w:pStyle w:val="Caption"/>
      </w:pPr>
      <w:bookmarkStart w:id="13" w:name="_Ref167451776"/>
      <w:r>
        <w:t xml:space="preserve">Table </w:t>
      </w:r>
      <w:r>
        <w:fldChar w:fldCharType="begin"/>
      </w:r>
      <w:r>
        <w:instrText xml:space="preserve"> SEQ Table \* ARABIC </w:instrText>
      </w:r>
      <w:r>
        <w:fldChar w:fldCharType="separate"/>
      </w:r>
      <w:r w:rsidR="005F7B06">
        <w:rPr>
          <w:noProof/>
        </w:rPr>
        <w:t>2</w:t>
      </w:r>
      <w:r>
        <w:fldChar w:fldCharType="end"/>
      </w:r>
      <w:bookmarkEnd w:id="13"/>
      <w:r>
        <w:t>. Direct costs categories.</w:t>
      </w:r>
    </w:p>
    <w:tbl>
      <w:tblPr>
        <w:tblStyle w:val="GridTable1Light"/>
        <w:tblW w:w="9067" w:type="dxa"/>
        <w:tblLook w:val="04A0" w:firstRow="1" w:lastRow="0" w:firstColumn="1" w:lastColumn="0" w:noHBand="0" w:noVBand="1"/>
      </w:tblPr>
      <w:tblGrid>
        <w:gridCol w:w="3259"/>
        <w:gridCol w:w="5808"/>
      </w:tblGrid>
      <w:tr w:rsidR="0016058F" w:rsidRPr="00C049B0" w14:paraId="734F253D" w14:textId="77777777" w:rsidTr="00D95594">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3259" w:type="dxa"/>
            <w:vMerge w:val="restart"/>
            <w:tcBorders>
              <w:bottom w:val="single" w:sz="12" w:space="0" w:color="auto"/>
            </w:tcBorders>
          </w:tcPr>
          <w:p w14:paraId="755883D9" w14:textId="77777777" w:rsidR="0016058F" w:rsidRPr="00D95594" w:rsidRDefault="00D95594" w:rsidP="00864059">
            <w:pPr>
              <w:rPr>
                <w:b w:val="0"/>
                <w:sz w:val="20"/>
                <w:szCs w:val="20"/>
                <w:lang w:val="en-US"/>
              </w:rPr>
            </w:pPr>
            <w:r w:rsidRPr="00D95594">
              <w:rPr>
                <w:sz w:val="20"/>
                <w:szCs w:val="20"/>
                <w:lang w:val="en-US"/>
              </w:rPr>
              <w:t>Category</w:t>
            </w:r>
          </w:p>
        </w:tc>
        <w:tc>
          <w:tcPr>
            <w:tcW w:w="5808" w:type="dxa"/>
            <w:vMerge w:val="restart"/>
            <w:tcBorders>
              <w:bottom w:val="single" w:sz="12" w:space="0" w:color="auto"/>
            </w:tcBorders>
          </w:tcPr>
          <w:p w14:paraId="5FC713CA" w14:textId="77777777" w:rsidR="0016058F" w:rsidRPr="00D95594" w:rsidRDefault="00D95594" w:rsidP="00864059">
            <w:pPr>
              <w:cnfStyle w:val="100000000000" w:firstRow="1" w:lastRow="0" w:firstColumn="0" w:lastColumn="0" w:oddVBand="0" w:evenVBand="0" w:oddHBand="0" w:evenHBand="0" w:firstRowFirstColumn="0" w:firstRowLastColumn="0" w:lastRowFirstColumn="0" w:lastRowLastColumn="0"/>
              <w:rPr>
                <w:b w:val="0"/>
                <w:sz w:val="20"/>
                <w:szCs w:val="20"/>
                <w:lang w:val="en-US"/>
              </w:rPr>
            </w:pPr>
            <w:r w:rsidRPr="00D95594">
              <w:rPr>
                <w:sz w:val="20"/>
                <w:szCs w:val="20"/>
                <w:lang w:val="en-US"/>
              </w:rPr>
              <w:t>Subject</w:t>
            </w:r>
          </w:p>
        </w:tc>
      </w:tr>
      <w:tr w:rsidR="0016058F" w:rsidRPr="00C049B0" w14:paraId="75F996A8" w14:textId="77777777" w:rsidTr="00D95594">
        <w:trPr>
          <w:trHeight w:val="230"/>
        </w:trPr>
        <w:tc>
          <w:tcPr>
            <w:cnfStyle w:val="001000000000" w:firstRow="0" w:lastRow="0" w:firstColumn="1" w:lastColumn="0" w:oddVBand="0" w:evenVBand="0" w:oddHBand="0" w:evenHBand="0" w:firstRowFirstColumn="0" w:firstRowLastColumn="0" w:lastRowFirstColumn="0" w:lastRowLastColumn="0"/>
            <w:tcW w:w="3259" w:type="dxa"/>
            <w:vMerge/>
            <w:tcBorders>
              <w:bottom w:val="single" w:sz="12" w:space="0" w:color="auto"/>
            </w:tcBorders>
          </w:tcPr>
          <w:p w14:paraId="3E5494D7" w14:textId="77777777" w:rsidR="0016058F" w:rsidRPr="00D95594" w:rsidRDefault="0016058F" w:rsidP="00864059">
            <w:pPr>
              <w:rPr>
                <w:sz w:val="20"/>
                <w:szCs w:val="20"/>
                <w:lang w:val="en-US"/>
              </w:rPr>
            </w:pPr>
          </w:p>
        </w:tc>
        <w:tc>
          <w:tcPr>
            <w:tcW w:w="5808" w:type="dxa"/>
            <w:vMerge/>
            <w:tcBorders>
              <w:bottom w:val="single" w:sz="12" w:space="0" w:color="auto"/>
            </w:tcBorders>
          </w:tcPr>
          <w:p w14:paraId="4DDEC35D" w14:textId="77777777" w:rsidR="0016058F" w:rsidRPr="00D95594" w:rsidRDefault="0016058F"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p>
        </w:tc>
      </w:tr>
      <w:tr w:rsidR="0016058F" w:rsidRPr="00C049B0" w14:paraId="56C793A1" w14:textId="77777777" w:rsidTr="00D95594">
        <w:tc>
          <w:tcPr>
            <w:cnfStyle w:val="001000000000" w:firstRow="0" w:lastRow="0" w:firstColumn="1" w:lastColumn="0" w:oddVBand="0" w:evenVBand="0" w:oddHBand="0" w:evenHBand="0" w:firstRowFirstColumn="0" w:firstRowLastColumn="0" w:lastRowFirstColumn="0" w:lastRowLastColumn="0"/>
            <w:tcW w:w="3259" w:type="dxa"/>
            <w:tcBorders>
              <w:top w:val="single" w:sz="12" w:space="0" w:color="auto"/>
            </w:tcBorders>
          </w:tcPr>
          <w:p w14:paraId="03159D00" w14:textId="77777777" w:rsidR="0016058F" w:rsidRPr="00D95594" w:rsidRDefault="00D95594" w:rsidP="00864059">
            <w:pPr>
              <w:rPr>
                <w:b w:val="0"/>
                <w:bCs w:val="0"/>
                <w:sz w:val="20"/>
                <w:szCs w:val="20"/>
                <w:lang w:val="en-US"/>
              </w:rPr>
            </w:pPr>
            <w:r w:rsidRPr="00D95594">
              <w:rPr>
                <w:b w:val="0"/>
                <w:bCs w:val="0"/>
                <w:sz w:val="20"/>
                <w:szCs w:val="20"/>
                <w:lang w:val="en-US"/>
              </w:rPr>
              <w:t>Administration</w:t>
            </w:r>
          </w:p>
        </w:tc>
        <w:tc>
          <w:tcPr>
            <w:tcW w:w="5808" w:type="dxa"/>
            <w:tcBorders>
              <w:top w:val="single" w:sz="12" w:space="0" w:color="auto"/>
            </w:tcBorders>
          </w:tcPr>
          <w:p w14:paraId="6F34C71D" w14:textId="77777777" w:rsidR="0016058F" w:rsidRPr="00D95594" w:rsidRDefault="0016058F"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sidRPr="00D95594">
              <w:rPr>
                <w:sz w:val="20"/>
                <w:szCs w:val="20"/>
                <w:lang w:val="en-US"/>
              </w:rPr>
              <w:t xml:space="preserve">Administration, Registration, Database </w:t>
            </w:r>
            <w:proofErr w:type="gramStart"/>
            <w:r w:rsidRPr="00D95594">
              <w:rPr>
                <w:sz w:val="20"/>
                <w:szCs w:val="20"/>
                <w:lang w:val="en-US"/>
              </w:rPr>
              <w:t>Intro</w:t>
            </w:r>
            <w:proofErr w:type="gramEnd"/>
            <w:r w:rsidRPr="00D95594">
              <w:rPr>
                <w:sz w:val="20"/>
                <w:szCs w:val="20"/>
                <w:lang w:val="en-US"/>
              </w:rPr>
              <w:t xml:space="preserve"> and associated costs</w:t>
            </w:r>
          </w:p>
        </w:tc>
      </w:tr>
      <w:tr w:rsidR="0016058F" w:rsidRPr="00C049B0" w14:paraId="38662106" w14:textId="77777777" w:rsidTr="00D95594">
        <w:tc>
          <w:tcPr>
            <w:cnfStyle w:val="001000000000" w:firstRow="0" w:lastRow="0" w:firstColumn="1" w:lastColumn="0" w:oddVBand="0" w:evenVBand="0" w:oddHBand="0" w:evenHBand="0" w:firstRowFirstColumn="0" w:firstRowLastColumn="0" w:lastRowFirstColumn="0" w:lastRowLastColumn="0"/>
            <w:tcW w:w="3259" w:type="dxa"/>
          </w:tcPr>
          <w:p w14:paraId="41776E37" w14:textId="77777777" w:rsidR="0016058F" w:rsidRPr="00D95594" w:rsidRDefault="00D95594" w:rsidP="00864059">
            <w:pPr>
              <w:rPr>
                <w:b w:val="0"/>
                <w:bCs w:val="0"/>
                <w:sz w:val="20"/>
                <w:szCs w:val="20"/>
                <w:lang w:val="en-US"/>
              </w:rPr>
            </w:pPr>
            <w:r w:rsidRPr="00D95594">
              <w:rPr>
                <w:b w:val="0"/>
                <w:bCs w:val="0"/>
                <w:sz w:val="20"/>
                <w:szCs w:val="20"/>
                <w:lang w:val="en-US"/>
              </w:rPr>
              <w:t>Auditing &amp; reporting</w:t>
            </w:r>
          </w:p>
        </w:tc>
        <w:tc>
          <w:tcPr>
            <w:tcW w:w="5808" w:type="dxa"/>
          </w:tcPr>
          <w:p w14:paraId="1DCC0EF2" w14:textId="77777777" w:rsidR="0016058F" w:rsidRPr="00D95594" w:rsidRDefault="0016058F"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sidRPr="00D95594">
              <w:rPr>
                <w:sz w:val="20"/>
                <w:szCs w:val="20"/>
                <w:lang w:val="en-US"/>
              </w:rPr>
              <w:t>Preparation for audit, undertaking of audit, and reporting of audit findings</w:t>
            </w:r>
          </w:p>
        </w:tc>
      </w:tr>
      <w:tr w:rsidR="0016058F" w:rsidRPr="00C049B0" w14:paraId="4427B3AE" w14:textId="77777777" w:rsidTr="00D95594">
        <w:tc>
          <w:tcPr>
            <w:cnfStyle w:val="001000000000" w:firstRow="0" w:lastRow="0" w:firstColumn="1" w:lastColumn="0" w:oddVBand="0" w:evenVBand="0" w:oddHBand="0" w:evenHBand="0" w:firstRowFirstColumn="0" w:firstRowLastColumn="0" w:lastRowFirstColumn="0" w:lastRowLastColumn="0"/>
            <w:tcW w:w="3259" w:type="dxa"/>
          </w:tcPr>
          <w:p w14:paraId="410DA51E" w14:textId="77777777" w:rsidR="0016058F" w:rsidRPr="00D95594" w:rsidRDefault="00D95594" w:rsidP="00864059">
            <w:pPr>
              <w:rPr>
                <w:b w:val="0"/>
                <w:bCs w:val="0"/>
                <w:sz w:val="20"/>
                <w:szCs w:val="20"/>
                <w:lang w:val="en-US"/>
              </w:rPr>
            </w:pPr>
            <w:r w:rsidRPr="00D95594">
              <w:rPr>
                <w:b w:val="0"/>
                <w:bCs w:val="0"/>
                <w:sz w:val="20"/>
                <w:szCs w:val="20"/>
                <w:lang w:val="en-US"/>
              </w:rPr>
              <w:t>Review</w:t>
            </w:r>
          </w:p>
        </w:tc>
        <w:tc>
          <w:tcPr>
            <w:tcW w:w="5808" w:type="dxa"/>
          </w:tcPr>
          <w:p w14:paraId="438443BE" w14:textId="77777777" w:rsidR="0016058F" w:rsidRPr="00D95594" w:rsidRDefault="0016058F" w:rsidP="2928E796">
            <w:pPr>
              <w:cnfStyle w:val="000000000000" w:firstRow="0" w:lastRow="0" w:firstColumn="0" w:lastColumn="0" w:oddVBand="0" w:evenVBand="0" w:oddHBand="0" w:evenHBand="0" w:firstRowFirstColumn="0" w:firstRowLastColumn="0" w:lastRowFirstColumn="0" w:lastRowLastColumn="0"/>
              <w:rPr>
                <w:sz w:val="20"/>
                <w:szCs w:val="20"/>
              </w:rPr>
            </w:pPr>
            <w:r w:rsidRPr="00D95594">
              <w:rPr>
                <w:sz w:val="20"/>
                <w:szCs w:val="20"/>
              </w:rPr>
              <w:t>Technical review of audit report, incl. “four-eyes check”, and following preparation for issuance of certificate</w:t>
            </w:r>
          </w:p>
        </w:tc>
      </w:tr>
      <w:tr w:rsidR="0016058F" w:rsidRPr="00C049B0" w14:paraId="34DC3F7B" w14:textId="77777777" w:rsidTr="00D95594">
        <w:tc>
          <w:tcPr>
            <w:cnfStyle w:val="001000000000" w:firstRow="0" w:lastRow="0" w:firstColumn="1" w:lastColumn="0" w:oddVBand="0" w:evenVBand="0" w:oddHBand="0" w:evenHBand="0" w:firstRowFirstColumn="0" w:firstRowLastColumn="0" w:lastRowFirstColumn="0" w:lastRowLastColumn="0"/>
            <w:tcW w:w="3259" w:type="dxa"/>
            <w:vMerge w:val="restart"/>
          </w:tcPr>
          <w:p w14:paraId="4224E404" w14:textId="77777777" w:rsidR="0016058F" w:rsidRPr="00D95594" w:rsidRDefault="00D95594" w:rsidP="00864059">
            <w:pPr>
              <w:rPr>
                <w:b w:val="0"/>
                <w:bCs w:val="0"/>
                <w:sz w:val="20"/>
                <w:szCs w:val="20"/>
                <w:lang w:val="en-US"/>
              </w:rPr>
            </w:pPr>
            <w:r w:rsidRPr="00D95594">
              <w:rPr>
                <w:b w:val="0"/>
                <w:bCs w:val="0"/>
                <w:sz w:val="20"/>
                <w:szCs w:val="20"/>
                <w:lang w:val="en-US"/>
              </w:rPr>
              <w:t>Certification fees</w:t>
            </w:r>
          </w:p>
        </w:tc>
        <w:tc>
          <w:tcPr>
            <w:tcW w:w="5808" w:type="dxa"/>
          </w:tcPr>
          <w:p w14:paraId="1C4C4413" w14:textId="77777777" w:rsidR="0016058F" w:rsidRPr="00D95594" w:rsidRDefault="0016058F"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sidRPr="00D95594">
              <w:rPr>
                <w:b/>
                <w:sz w:val="20"/>
                <w:szCs w:val="20"/>
                <w:lang w:val="en-US"/>
              </w:rPr>
              <w:t>CB</w:t>
            </w:r>
            <w:r w:rsidRPr="00D95594">
              <w:rPr>
                <w:sz w:val="20"/>
                <w:szCs w:val="20"/>
                <w:lang w:val="en-US"/>
              </w:rPr>
              <w:t xml:space="preserve">: </w:t>
            </w:r>
            <w:proofErr w:type="spellStart"/>
            <w:r w:rsidRPr="00D95594">
              <w:rPr>
                <w:sz w:val="20"/>
                <w:szCs w:val="20"/>
                <w:lang w:val="en-US"/>
              </w:rPr>
              <w:t>Annualised</w:t>
            </w:r>
            <w:proofErr w:type="spellEnd"/>
            <w:r w:rsidRPr="00D95594">
              <w:rPr>
                <w:sz w:val="20"/>
                <w:szCs w:val="20"/>
                <w:lang w:val="en-US"/>
              </w:rPr>
              <w:t xml:space="preserve"> certification costs for the issuance of a certificate or Letter of Attestation</w:t>
            </w:r>
          </w:p>
        </w:tc>
      </w:tr>
      <w:tr w:rsidR="0016058F" w:rsidRPr="00C049B0" w14:paraId="65258310" w14:textId="77777777" w:rsidTr="00D95594">
        <w:tc>
          <w:tcPr>
            <w:cnfStyle w:val="001000000000" w:firstRow="0" w:lastRow="0" w:firstColumn="1" w:lastColumn="0" w:oddVBand="0" w:evenVBand="0" w:oddHBand="0" w:evenHBand="0" w:firstRowFirstColumn="0" w:firstRowLastColumn="0" w:lastRowFirstColumn="0" w:lastRowLastColumn="0"/>
            <w:tcW w:w="3259" w:type="dxa"/>
            <w:vMerge/>
          </w:tcPr>
          <w:p w14:paraId="007C1C77" w14:textId="77777777" w:rsidR="0016058F" w:rsidRPr="00D95594" w:rsidRDefault="0016058F" w:rsidP="00864059">
            <w:pPr>
              <w:rPr>
                <w:b w:val="0"/>
                <w:bCs w:val="0"/>
                <w:sz w:val="20"/>
                <w:szCs w:val="20"/>
                <w:lang w:val="en-US"/>
              </w:rPr>
            </w:pPr>
          </w:p>
        </w:tc>
        <w:tc>
          <w:tcPr>
            <w:tcW w:w="5808" w:type="dxa"/>
          </w:tcPr>
          <w:p w14:paraId="345CBF59" w14:textId="77777777" w:rsidR="0016058F" w:rsidRPr="00D95594" w:rsidRDefault="0016058F"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sidRPr="00D95594">
              <w:rPr>
                <w:b/>
                <w:sz w:val="20"/>
                <w:szCs w:val="20"/>
                <w:lang w:val="en-US"/>
              </w:rPr>
              <w:t>CSL:</w:t>
            </w:r>
            <w:r w:rsidRPr="00D95594">
              <w:rPr>
                <w:sz w:val="20"/>
                <w:szCs w:val="20"/>
                <w:lang w:val="en-US"/>
              </w:rPr>
              <w:t xml:space="preserve"> </w:t>
            </w:r>
            <w:proofErr w:type="spellStart"/>
            <w:r w:rsidRPr="00D95594">
              <w:rPr>
                <w:sz w:val="20"/>
                <w:szCs w:val="20"/>
                <w:lang w:val="en-US"/>
              </w:rPr>
              <w:t>Annualised</w:t>
            </w:r>
            <w:proofErr w:type="spellEnd"/>
            <w:r w:rsidRPr="00D95594">
              <w:rPr>
                <w:sz w:val="20"/>
                <w:szCs w:val="20"/>
                <w:lang w:val="en-US"/>
              </w:rPr>
              <w:t xml:space="preserve"> – midsized companies</w:t>
            </w:r>
          </w:p>
        </w:tc>
      </w:tr>
      <w:tr w:rsidR="0016058F" w:rsidRPr="00C049B0" w14:paraId="624A0E2A" w14:textId="77777777" w:rsidTr="00D95594">
        <w:tc>
          <w:tcPr>
            <w:cnfStyle w:val="001000000000" w:firstRow="0" w:lastRow="0" w:firstColumn="1" w:lastColumn="0" w:oddVBand="0" w:evenVBand="0" w:oddHBand="0" w:evenHBand="0" w:firstRowFirstColumn="0" w:firstRowLastColumn="0" w:lastRowFirstColumn="0" w:lastRowLastColumn="0"/>
            <w:tcW w:w="3259" w:type="dxa"/>
            <w:vMerge w:val="restart"/>
          </w:tcPr>
          <w:p w14:paraId="6B21D7F6" w14:textId="77777777" w:rsidR="0016058F" w:rsidRPr="00D95594" w:rsidRDefault="00D95594" w:rsidP="00864059">
            <w:pPr>
              <w:rPr>
                <w:b w:val="0"/>
                <w:bCs w:val="0"/>
                <w:sz w:val="20"/>
                <w:szCs w:val="20"/>
                <w:lang w:val="en-US"/>
              </w:rPr>
            </w:pPr>
            <w:r w:rsidRPr="00D95594">
              <w:rPr>
                <w:b w:val="0"/>
                <w:bCs w:val="0"/>
                <w:sz w:val="20"/>
                <w:szCs w:val="20"/>
                <w:lang w:val="en-US"/>
              </w:rPr>
              <w:t>Travel expenses</w:t>
            </w:r>
          </w:p>
        </w:tc>
        <w:tc>
          <w:tcPr>
            <w:tcW w:w="5808" w:type="dxa"/>
          </w:tcPr>
          <w:p w14:paraId="0C66E41E" w14:textId="77777777" w:rsidR="0016058F" w:rsidRPr="00D95594" w:rsidRDefault="0016058F" w:rsidP="00864059">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D95594">
              <w:rPr>
                <w:b/>
                <w:sz w:val="20"/>
                <w:szCs w:val="20"/>
                <w:lang w:val="en-US"/>
              </w:rPr>
              <w:t xml:space="preserve">Estimated average </w:t>
            </w:r>
            <w:r w:rsidRPr="00D95594">
              <w:rPr>
                <w:sz w:val="20"/>
                <w:szCs w:val="20"/>
                <w:lang w:val="en-US"/>
              </w:rPr>
              <w:t xml:space="preserve">for travels within the country of origin for the auditor </w:t>
            </w:r>
          </w:p>
        </w:tc>
      </w:tr>
      <w:tr w:rsidR="0016058F" w:rsidRPr="00C049B0" w14:paraId="2EBAF090" w14:textId="77777777" w:rsidTr="00D95594">
        <w:tc>
          <w:tcPr>
            <w:cnfStyle w:val="001000000000" w:firstRow="0" w:lastRow="0" w:firstColumn="1" w:lastColumn="0" w:oddVBand="0" w:evenVBand="0" w:oddHBand="0" w:evenHBand="0" w:firstRowFirstColumn="0" w:firstRowLastColumn="0" w:lastRowFirstColumn="0" w:lastRowLastColumn="0"/>
            <w:tcW w:w="3259" w:type="dxa"/>
            <w:vMerge/>
          </w:tcPr>
          <w:p w14:paraId="4E0E5519" w14:textId="77777777" w:rsidR="0016058F" w:rsidRPr="00D95594" w:rsidRDefault="0016058F" w:rsidP="00864059">
            <w:pPr>
              <w:rPr>
                <w:sz w:val="20"/>
                <w:szCs w:val="20"/>
                <w:lang w:val="en-US"/>
              </w:rPr>
            </w:pPr>
          </w:p>
        </w:tc>
        <w:tc>
          <w:tcPr>
            <w:tcW w:w="5808" w:type="dxa"/>
          </w:tcPr>
          <w:p w14:paraId="16E372E1" w14:textId="77777777" w:rsidR="0016058F" w:rsidRPr="00D95594" w:rsidRDefault="0016058F" w:rsidP="00864059">
            <w:pPr>
              <w:cnfStyle w:val="000000000000" w:firstRow="0" w:lastRow="0" w:firstColumn="0" w:lastColumn="0" w:oddVBand="0" w:evenVBand="0" w:oddHBand="0" w:evenHBand="0" w:firstRowFirstColumn="0" w:firstRowLastColumn="0" w:lastRowFirstColumn="0" w:lastRowLastColumn="0"/>
              <w:rPr>
                <w:b/>
                <w:sz w:val="20"/>
                <w:szCs w:val="20"/>
                <w:lang w:val="en-US"/>
              </w:rPr>
            </w:pPr>
            <w:r w:rsidRPr="00D95594">
              <w:rPr>
                <w:b/>
                <w:sz w:val="20"/>
                <w:szCs w:val="20"/>
                <w:lang w:val="en-US"/>
              </w:rPr>
              <w:t xml:space="preserve">Estimated average </w:t>
            </w:r>
            <w:r w:rsidRPr="00D95594">
              <w:rPr>
                <w:sz w:val="20"/>
                <w:szCs w:val="20"/>
                <w:lang w:val="en-US"/>
              </w:rPr>
              <w:t xml:space="preserve">for auditor travelling out of country of origin                                             </w:t>
            </w:r>
          </w:p>
        </w:tc>
      </w:tr>
    </w:tbl>
    <w:p w14:paraId="54ABA173" w14:textId="77777777" w:rsidR="00737482" w:rsidRDefault="00A01447" w:rsidP="00737482">
      <w:bookmarkStart w:id="14" w:name="_Toc166064600"/>
      <w:bookmarkEnd w:id="14"/>
      <w:r>
        <w:t xml:space="preserve"> </w:t>
      </w:r>
      <w:bookmarkStart w:id="15" w:name="_Toc166073779"/>
    </w:p>
    <w:p w14:paraId="575D8A26" w14:textId="77777777" w:rsidR="00A01447" w:rsidRPr="0023381E" w:rsidRDefault="00D17743" w:rsidP="004B6CE3">
      <w:pPr>
        <w:pStyle w:val="Heading3"/>
      </w:pPr>
      <w:r>
        <w:t xml:space="preserve"> </w:t>
      </w:r>
      <w:r w:rsidR="00A01447">
        <w:t>Examples o</w:t>
      </w:r>
      <w:r w:rsidR="0039410A">
        <w:t>f</w:t>
      </w:r>
      <w:r w:rsidR="00A01447">
        <w:t xml:space="preserve"> different supply chain cost items</w:t>
      </w:r>
      <w:bookmarkEnd w:id="15"/>
    </w:p>
    <w:p w14:paraId="3A89B7AF" w14:textId="77777777" w:rsidR="00B44064" w:rsidRDefault="00B44064" w:rsidP="00B44064">
      <w:r w:rsidRPr="00B44064">
        <w:rPr>
          <w:lang w:val="en-US"/>
        </w:rPr>
        <w:t>The following table</w:t>
      </w:r>
      <w:r w:rsidR="006B7728">
        <w:rPr>
          <w:lang w:val="en-US"/>
        </w:rPr>
        <w:t>s</w:t>
      </w:r>
      <w:r w:rsidRPr="00B44064">
        <w:rPr>
          <w:lang w:val="en-US"/>
        </w:rPr>
        <w:t xml:space="preserve"> </w:t>
      </w:r>
      <w:r w:rsidR="008831D4">
        <w:rPr>
          <w:lang w:val="en-US"/>
        </w:rPr>
        <w:t>illustrate</w:t>
      </w:r>
      <w:r w:rsidRPr="00B44064">
        <w:rPr>
          <w:lang w:val="en-US"/>
        </w:rPr>
        <w:t xml:space="preserve"> the various cost items used for the pricing structure of CSLs</w:t>
      </w:r>
      <w:r w:rsidR="006B7728">
        <w:rPr>
          <w:lang w:val="en-US"/>
        </w:rPr>
        <w:t xml:space="preserve"> where </w:t>
      </w:r>
      <w:r w:rsidR="006B7728">
        <w:rPr>
          <w:lang w:val="en-US"/>
        </w:rPr>
        <w:fldChar w:fldCharType="begin"/>
      </w:r>
      <w:r w:rsidR="006B7728">
        <w:rPr>
          <w:lang w:val="en-US"/>
        </w:rPr>
        <w:instrText xml:space="preserve"> REF _Ref165302307 \h </w:instrText>
      </w:r>
      <w:r w:rsidR="006B7728">
        <w:rPr>
          <w:lang w:val="en-US"/>
        </w:rPr>
      </w:r>
      <w:r w:rsidR="006B7728">
        <w:rPr>
          <w:lang w:val="en-US"/>
        </w:rPr>
        <w:fldChar w:fldCharType="separate"/>
      </w:r>
      <w:r w:rsidR="005F7B06">
        <w:t xml:space="preserve">Table </w:t>
      </w:r>
      <w:r w:rsidR="005F7B06">
        <w:rPr>
          <w:noProof/>
        </w:rPr>
        <w:t>3</w:t>
      </w:r>
      <w:r w:rsidR="006B7728">
        <w:rPr>
          <w:lang w:val="en-US"/>
        </w:rPr>
        <w:fldChar w:fldCharType="end"/>
      </w:r>
      <w:r w:rsidR="006B7728">
        <w:rPr>
          <w:lang w:val="en-US"/>
        </w:rPr>
        <w:t xml:space="preserve"> presents information for individual certification and </w:t>
      </w:r>
      <w:r w:rsidR="006B7728">
        <w:rPr>
          <w:lang w:val="en-US"/>
        </w:rPr>
        <w:fldChar w:fldCharType="begin"/>
      </w:r>
      <w:r w:rsidR="006B7728">
        <w:rPr>
          <w:lang w:val="en-US"/>
        </w:rPr>
        <w:instrText xml:space="preserve"> REF _Ref167451017 \h </w:instrText>
      </w:r>
      <w:r w:rsidR="006B7728">
        <w:rPr>
          <w:lang w:val="en-US"/>
        </w:rPr>
      </w:r>
      <w:r w:rsidR="006B7728">
        <w:rPr>
          <w:lang w:val="en-US"/>
        </w:rPr>
        <w:fldChar w:fldCharType="separate"/>
      </w:r>
      <w:r w:rsidR="005F7B06">
        <w:t xml:space="preserve">Table </w:t>
      </w:r>
      <w:r w:rsidR="005F7B06">
        <w:rPr>
          <w:noProof/>
        </w:rPr>
        <w:t>4</w:t>
      </w:r>
      <w:r w:rsidR="006B7728">
        <w:rPr>
          <w:lang w:val="en-US"/>
        </w:rPr>
        <w:fldChar w:fldCharType="end"/>
      </w:r>
      <w:r w:rsidR="0039410A">
        <w:rPr>
          <w:lang w:val="en-US"/>
        </w:rPr>
        <w:t xml:space="preserve"> presents information for group certification</w:t>
      </w:r>
      <w:r w:rsidRPr="00B44064">
        <w:rPr>
          <w:lang w:val="en-US"/>
        </w:rPr>
        <w:t>. This is based on the items identified by the Task 6.1 partners.</w:t>
      </w:r>
    </w:p>
    <w:p w14:paraId="50589348" w14:textId="77777777" w:rsidR="00A01447" w:rsidRDefault="00A01447" w:rsidP="004C0571">
      <w:pPr>
        <w:pStyle w:val="Caption"/>
        <w:rPr>
          <w:szCs w:val="22"/>
          <w:lang w:val="en-US"/>
        </w:rPr>
      </w:pPr>
      <w:bookmarkStart w:id="16" w:name="_Ref165302307"/>
      <w:r>
        <w:t xml:space="preserve">Table </w:t>
      </w:r>
      <w:r>
        <w:fldChar w:fldCharType="begin"/>
      </w:r>
      <w:r>
        <w:instrText xml:space="preserve"> SEQ Table \* ARABIC </w:instrText>
      </w:r>
      <w:r>
        <w:fldChar w:fldCharType="separate"/>
      </w:r>
      <w:r w:rsidR="005F7B06">
        <w:rPr>
          <w:noProof/>
        </w:rPr>
        <w:t>3</w:t>
      </w:r>
      <w:r>
        <w:rPr>
          <w:noProof/>
        </w:rPr>
        <w:fldChar w:fldCharType="end"/>
      </w:r>
      <w:bookmarkEnd w:id="16"/>
      <w:r>
        <w:t>: Average net prices for individually certified supply chain elements</w:t>
      </w:r>
    </w:p>
    <w:tbl>
      <w:tblPr>
        <w:tblStyle w:val="GridTable1Light"/>
        <w:tblW w:w="10242" w:type="dxa"/>
        <w:tblInd w:w="-431" w:type="dxa"/>
        <w:tblLayout w:type="fixed"/>
        <w:tblLook w:val="04A0" w:firstRow="1" w:lastRow="0" w:firstColumn="1" w:lastColumn="0" w:noHBand="0" w:noVBand="1"/>
      </w:tblPr>
      <w:tblGrid>
        <w:gridCol w:w="2802"/>
        <w:gridCol w:w="885"/>
        <w:gridCol w:w="1106"/>
        <w:gridCol w:w="993"/>
        <w:gridCol w:w="1133"/>
        <w:gridCol w:w="1134"/>
        <w:gridCol w:w="1134"/>
        <w:gridCol w:w="993"/>
        <w:gridCol w:w="62"/>
      </w:tblGrid>
      <w:tr w:rsidR="00A01447" w:rsidRPr="00C049B0" w14:paraId="46E93100" w14:textId="77777777" w:rsidTr="007962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711721C5" w14:textId="77777777" w:rsidR="00A01447" w:rsidRPr="0054361E" w:rsidRDefault="0054361E" w:rsidP="00864059">
            <w:pPr>
              <w:rPr>
                <w:bCs w:val="0"/>
                <w:sz w:val="20"/>
                <w:szCs w:val="20"/>
                <w:lang w:val="en-US"/>
              </w:rPr>
            </w:pPr>
            <w:r w:rsidRPr="0054361E">
              <w:rPr>
                <w:bCs w:val="0"/>
                <w:sz w:val="20"/>
                <w:szCs w:val="20"/>
                <w:lang w:val="en-US"/>
              </w:rPr>
              <w:t>Supply chain elements</w:t>
            </w:r>
          </w:p>
        </w:tc>
        <w:tc>
          <w:tcPr>
            <w:tcW w:w="7440" w:type="dxa"/>
            <w:gridSpan w:val="8"/>
          </w:tcPr>
          <w:p w14:paraId="1F7782FF" w14:textId="77777777" w:rsidR="00A01447" w:rsidRPr="0054361E" w:rsidRDefault="0054361E" w:rsidP="00864059">
            <w:pPr>
              <w:jc w:val="center"/>
              <w:cnfStyle w:val="100000000000" w:firstRow="1" w:lastRow="0" w:firstColumn="0" w:lastColumn="0" w:oddVBand="0" w:evenVBand="0" w:oddHBand="0" w:evenHBand="0" w:firstRowFirstColumn="0" w:firstRowLastColumn="0" w:lastRowFirstColumn="0" w:lastRowLastColumn="0"/>
              <w:rPr>
                <w:bCs w:val="0"/>
                <w:sz w:val="20"/>
                <w:szCs w:val="20"/>
                <w:lang w:val="en-US"/>
              </w:rPr>
            </w:pPr>
            <w:r w:rsidRPr="0054361E">
              <w:rPr>
                <w:bCs w:val="0"/>
                <w:sz w:val="20"/>
                <w:szCs w:val="20"/>
                <w:lang w:val="en-US"/>
              </w:rPr>
              <w:t>Average net prices €</w:t>
            </w:r>
          </w:p>
        </w:tc>
      </w:tr>
      <w:tr w:rsidR="003D71DE" w:rsidRPr="00C049B0" w14:paraId="2200CAC8" w14:textId="77777777" w:rsidTr="0079623C">
        <w:trPr>
          <w:gridAfter w:val="1"/>
          <w:wAfter w:w="62" w:type="dxa"/>
          <w:trHeight w:val="593"/>
        </w:trPr>
        <w:tc>
          <w:tcPr>
            <w:cnfStyle w:val="001000000000" w:firstRow="0" w:lastRow="0" w:firstColumn="1" w:lastColumn="0" w:oddVBand="0" w:evenVBand="0" w:oddHBand="0" w:evenHBand="0" w:firstRowFirstColumn="0" w:firstRowLastColumn="0" w:lastRowFirstColumn="0" w:lastRowLastColumn="0"/>
            <w:tcW w:w="2802" w:type="dxa"/>
            <w:vMerge/>
          </w:tcPr>
          <w:p w14:paraId="7B09A7F6" w14:textId="77777777" w:rsidR="00A01447" w:rsidRPr="00C049B0" w:rsidRDefault="00A01447" w:rsidP="00864059">
            <w:pPr>
              <w:rPr>
                <w:lang w:val="en-US"/>
              </w:rPr>
            </w:pPr>
          </w:p>
        </w:tc>
        <w:tc>
          <w:tcPr>
            <w:tcW w:w="885" w:type="dxa"/>
          </w:tcPr>
          <w:p w14:paraId="3C7D75D7" w14:textId="77777777" w:rsidR="00A01447"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Administration        </w:t>
            </w:r>
          </w:p>
          <w:p w14:paraId="341E7B1E"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(Flat Rate </w:t>
            </w:r>
            <w:r w:rsidRPr="00C049B0">
              <w:rPr>
                <w:rFonts w:cs="Calibri"/>
                <w:sz w:val="18"/>
                <w:szCs w:val="18"/>
                <w:lang w:val="en-US"/>
              </w:rPr>
              <w:t>Ø)</w:t>
            </w:r>
          </w:p>
        </w:tc>
        <w:tc>
          <w:tcPr>
            <w:tcW w:w="1106" w:type="dxa"/>
          </w:tcPr>
          <w:p w14:paraId="106608B7"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Audit &amp; Reporting (p.md)</w:t>
            </w:r>
          </w:p>
        </w:tc>
        <w:tc>
          <w:tcPr>
            <w:tcW w:w="993" w:type="dxa"/>
          </w:tcPr>
          <w:p w14:paraId="35690DA7"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Technical                  Review                       </w:t>
            </w:r>
            <w:proofErr w:type="gramStart"/>
            <w:r w:rsidRPr="00C049B0">
              <w:rPr>
                <w:sz w:val="18"/>
                <w:szCs w:val="18"/>
                <w:lang w:val="en-US"/>
              </w:rPr>
              <w:t xml:space="preserve">   (</w:t>
            </w:r>
            <w:proofErr w:type="gramEnd"/>
            <w:r w:rsidRPr="00C049B0">
              <w:rPr>
                <w:sz w:val="18"/>
                <w:szCs w:val="18"/>
                <w:lang w:val="en-US"/>
              </w:rPr>
              <w:t>p.md)</w:t>
            </w:r>
          </w:p>
        </w:tc>
        <w:tc>
          <w:tcPr>
            <w:tcW w:w="1133" w:type="dxa"/>
          </w:tcPr>
          <w:p w14:paraId="1A3D89DA"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Certificate Fees             </w:t>
            </w:r>
            <w:proofErr w:type="gramStart"/>
            <w:r w:rsidRPr="00C049B0">
              <w:rPr>
                <w:sz w:val="18"/>
                <w:szCs w:val="18"/>
                <w:lang w:val="en-US"/>
              </w:rPr>
              <w:t xml:space="preserve">   (</w:t>
            </w:r>
            <w:proofErr w:type="gramEnd"/>
            <w:r w:rsidRPr="00C049B0">
              <w:rPr>
                <w:sz w:val="18"/>
                <w:szCs w:val="18"/>
                <w:lang w:val="en-US"/>
              </w:rPr>
              <w:t>CB&amp;CS)</w:t>
            </w:r>
            <w:r w:rsidRPr="00C049B0">
              <w:rPr>
                <w:rFonts w:cs="Calibri"/>
                <w:sz w:val="18"/>
                <w:szCs w:val="18"/>
                <w:lang w:val="en-US"/>
              </w:rPr>
              <w:t xml:space="preserve">  Ø</w:t>
            </w:r>
          </w:p>
        </w:tc>
        <w:tc>
          <w:tcPr>
            <w:tcW w:w="1134" w:type="dxa"/>
            <w:shd w:val="clear" w:color="auto" w:fill="auto"/>
          </w:tcPr>
          <w:p w14:paraId="45DE1CED" w14:textId="77777777" w:rsidR="00A01447" w:rsidRPr="002B4C43"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2B4C43">
              <w:rPr>
                <w:sz w:val="18"/>
                <w:szCs w:val="18"/>
                <w:lang w:val="en-US"/>
              </w:rPr>
              <w:t xml:space="preserve">Expenses                </w:t>
            </w:r>
            <w:proofErr w:type="gramStart"/>
            <w:r w:rsidRPr="002B4C43">
              <w:rPr>
                <w:sz w:val="18"/>
                <w:szCs w:val="18"/>
                <w:lang w:val="en-US"/>
              </w:rPr>
              <w:t xml:space="preserve">   (</w:t>
            </w:r>
            <w:proofErr w:type="gramEnd"/>
            <w:r w:rsidRPr="002B4C43">
              <w:rPr>
                <w:sz w:val="18"/>
                <w:szCs w:val="18"/>
                <w:lang w:val="en-US"/>
              </w:rPr>
              <w:t xml:space="preserve">own country) </w:t>
            </w:r>
            <w:r w:rsidRPr="002B4C43">
              <w:rPr>
                <w:rFonts w:cs="Calibri"/>
                <w:sz w:val="18"/>
                <w:szCs w:val="18"/>
                <w:lang w:val="en-US"/>
              </w:rPr>
              <w:t>Ø</w:t>
            </w:r>
          </w:p>
        </w:tc>
        <w:tc>
          <w:tcPr>
            <w:tcW w:w="1134" w:type="dxa"/>
            <w:shd w:val="clear" w:color="auto" w:fill="auto"/>
          </w:tcPr>
          <w:p w14:paraId="75089ACB" w14:textId="77777777" w:rsidR="00A01447" w:rsidRPr="002B4C43"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2B4C43">
              <w:rPr>
                <w:sz w:val="18"/>
                <w:szCs w:val="18"/>
                <w:lang w:val="en-US"/>
              </w:rPr>
              <w:t xml:space="preserve">Expenses                </w:t>
            </w:r>
            <w:proofErr w:type="gramStart"/>
            <w:r w:rsidRPr="002B4C43">
              <w:rPr>
                <w:sz w:val="18"/>
                <w:szCs w:val="18"/>
                <w:lang w:val="en-US"/>
              </w:rPr>
              <w:t xml:space="preserve">   (</w:t>
            </w:r>
            <w:proofErr w:type="gramEnd"/>
            <w:r w:rsidRPr="002B4C43">
              <w:rPr>
                <w:sz w:val="18"/>
                <w:szCs w:val="18"/>
                <w:lang w:val="en-US"/>
              </w:rPr>
              <w:t xml:space="preserve">abroad) </w:t>
            </w:r>
            <w:r w:rsidRPr="002B4C43">
              <w:rPr>
                <w:rFonts w:cs="Calibri"/>
                <w:sz w:val="18"/>
                <w:szCs w:val="18"/>
                <w:lang w:val="en-US"/>
              </w:rPr>
              <w:t>Ø</w:t>
            </w:r>
          </w:p>
        </w:tc>
        <w:tc>
          <w:tcPr>
            <w:tcW w:w="993" w:type="dxa"/>
          </w:tcPr>
          <w:p w14:paraId="662750C2"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sidRPr="0054361E">
              <w:rPr>
                <w:bCs/>
                <w:sz w:val="20"/>
                <w:szCs w:val="20"/>
                <w:lang w:val="en-US"/>
              </w:rPr>
              <w:t>TOTAL</w:t>
            </w:r>
          </w:p>
          <w:p w14:paraId="0D521BCA"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lang w:val="en-US"/>
              </w:rPr>
            </w:pPr>
            <w:r w:rsidRPr="0054361E">
              <w:rPr>
                <w:rFonts w:cs="Calibri"/>
                <w:bCs/>
                <w:sz w:val="20"/>
                <w:szCs w:val="20"/>
                <w:lang w:val="en-US"/>
              </w:rPr>
              <w:t>Ø</w:t>
            </w:r>
          </w:p>
        </w:tc>
      </w:tr>
      <w:tr w:rsidR="0079623C" w:rsidRPr="00C049B0" w14:paraId="0D35414E" w14:textId="77777777" w:rsidTr="0079623C">
        <w:trPr>
          <w:gridAfter w:val="1"/>
          <w:wAfter w:w="62" w:type="dxa"/>
          <w:trHeight w:val="47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13702F8E"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AGRICULTURAL SUPPLIER (individually certified, average crops and production size in the EU)</w:t>
            </w:r>
          </w:p>
        </w:tc>
        <w:tc>
          <w:tcPr>
            <w:tcW w:w="885" w:type="dxa"/>
            <w:vMerge w:val="restart"/>
          </w:tcPr>
          <w:p w14:paraId="51DD065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06" w:type="dxa"/>
            <w:vMerge w:val="restart"/>
          </w:tcPr>
          <w:p w14:paraId="27493ACF"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1200</w:t>
            </w:r>
          </w:p>
          <w:p w14:paraId="3F61CCB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(1 md)</w:t>
            </w:r>
          </w:p>
        </w:tc>
        <w:tc>
          <w:tcPr>
            <w:tcW w:w="993" w:type="dxa"/>
            <w:vMerge w:val="restart"/>
          </w:tcPr>
          <w:p w14:paraId="25F6BD0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05BE92C2"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3" w:type="dxa"/>
            <w:vMerge w:val="restart"/>
          </w:tcPr>
          <w:p w14:paraId="7B10CE7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4ECD17E6"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250</w:t>
            </w:r>
          </w:p>
        </w:tc>
        <w:tc>
          <w:tcPr>
            <w:tcW w:w="1134" w:type="dxa"/>
          </w:tcPr>
          <w:p w14:paraId="2D1AB1CA" w14:textId="77777777" w:rsidR="00A01447" w:rsidRPr="0054361E" w:rsidRDefault="002B4C43"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993" w:type="dxa"/>
          </w:tcPr>
          <w:p w14:paraId="7423670D"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3350</w:t>
            </w:r>
          </w:p>
        </w:tc>
      </w:tr>
      <w:tr w:rsidR="0079623C" w:rsidRPr="00C049B0" w14:paraId="2A8F01CB" w14:textId="77777777" w:rsidTr="0079623C">
        <w:trPr>
          <w:gridAfter w:val="1"/>
          <w:wAfter w:w="62" w:type="dxa"/>
          <w:trHeight w:val="500"/>
        </w:trPr>
        <w:tc>
          <w:tcPr>
            <w:cnfStyle w:val="001000000000" w:firstRow="0" w:lastRow="0" w:firstColumn="1" w:lastColumn="0" w:oddVBand="0" w:evenVBand="0" w:oddHBand="0" w:evenHBand="0" w:firstRowFirstColumn="0" w:firstRowLastColumn="0" w:lastRowFirstColumn="0" w:lastRowLastColumn="0"/>
            <w:tcW w:w="2802" w:type="dxa"/>
            <w:vMerge/>
          </w:tcPr>
          <w:p w14:paraId="4F17103F" w14:textId="77777777" w:rsidR="00A01447" w:rsidRPr="0054361E" w:rsidRDefault="00A01447" w:rsidP="00864059">
            <w:pPr>
              <w:rPr>
                <w:rFonts w:cs="Arial"/>
                <w:b w:val="0"/>
                <w:bCs w:val="0"/>
                <w:sz w:val="18"/>
                <w:szCs w:val="18"/>
                <w:lang w:val="en-US"/>
              </w:rPr>
            </w:pPr>
          </w:p>
        </w:tc>
        <w:tc>
          <w:tcPr>
            <w:tcW w:w="885" w:type="dxa"/>
            <w:vMerge/>
          </w:tcPr>
          <w:p w14:paraId="42D7229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06" w:type="dxa"/>
            <w:vMerge/>
          </w:tcPr>
          <w:p w14:paraId="5256F5AA"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993" w:type="dxa"/>
            <w:vMerge/>
          </w:tcPr>
          <w:p w14:paraId="6D1B496E"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3" w:type="dxa"/>
            <w:vMerge/>
          </w:tcPr>
          <w:p w14:paraId="4ADCF686"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tcPr>
          <w:p w14:paraId="19EA4C5F" w14:textId="77777777" w:rsidR="00A01447" w:rsidRPr="0054361E" w:rsidRDefault="002B4C43"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4C809C3F"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93" w:type="dxa"/>
          </w:tcPr>
          <w:p w14:paraId="7CF6FE84"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4050</w:t>
            </w:r>
          </w:p>
        </w:tc>
      </w:tr>
      <w:tr w:rsidR="00A01447" w:rsidRPr="00C049B0" w14:paraId="1BFC0E89" w14:textId="77777777" w:rsidTr="0079623C">
        <w:trPr>
          <w:gridAfter w:val="1"/>
          <w:wAfter w:w="62" w:type="dxa"/>
        </w:trPr>
        <w:tc>
          <w:tcPr>
            <w:cnfStyle w:val="001000000000" w:firstRow="0" w:lastRow="0" w:firstColumn="1" w:lastColumn="0" w:oddVBand="0" w:evenVBand="0" w:oddHBand="0" w:evenHBand="0" w:firstRowFirstColumn="0" w:firstRowLastColumn="0" w:lastRowFirstColumn="0" w:lastRowLastColumn="0"/>
            <w:tcW w:w="2802" w:type="dxa"/>
          </w:tcPr>
          <w:p w14:paraId="4B449BB1"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AGRICULTURAL SUPPLIER (individually certified, average crops – non-EU based supplier)</w:t>
            </w:r>
          </w:p>
        </w:tc>
        <w:tc>
          <w:tcPr>
            <w:tcW w:w="885" w:type="dxa"/>
          </w:tcPr>
          <w:p w14:paraId="2215B210"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06" w:type="dxa"/>
          </w:tcPr>
          <w:p w14:paraId="355CE4B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2400</w:t>
            </w:r>
          </w:p>
          <w:p w14:paraId="47BEC5E0"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(2 md)</w:t>
            </w:r>
          </w:p>
        </w:tc>
        <w:tc>
          <w:tcPr>
            <w:tcW w:w="993" w:type="dxa"/>
          </w:tcPr>
          <w:p w14:paraId="7CB9FF3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0680967C"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3" w:type="dxa"/>
          </w:tcPr>
          <w:p w14:paraId="0E19BAD6"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0C216888" w14:textId="77777777" w:rsidR="00A01447" w:rsidRPr="0054361E" w:rsidRDefault="003875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78B3D32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93" w:type="dxa"/>
          </w:tcPr>
          <w:p w14:paraId="25B7EC96"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5250</w:t>
            </w:r>
          </w:p>
        </w:tc>
      </w:tr>
      <w:tr w:rsidR="00847D9E" w:rsidRPr="00C049B0" w14:paraId="46E99215" w14:textId="77777777" w:rsidTr="0079623C">
        <w:trPr>
          <w:gridAfter w:val="1"/>
          <w:wAfter w:w="62" w:type="dxa"/>
          <w:trHeight w:val="61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2FC661A8"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 xml:space="preserve">POINT OF WASTE &amp; RESIDUE ORIGINATION (individually certified, bio &amp; circular – all </w:t>
            </w:r>
            <w:proofErr w:type="gramStart"/>
            <w:r w:rsidRPr="0054361E">
              <w:rPr>
                <w:rFonts w:cs="Arial"/>
                <w:b w:val="0"/>
                <w:bCs w:val="0"/>
                <w:sz w:val="18"/>
                <w:szCs w:val="18"/>
                <w:lang w:val="en-US"/>
              </w:rPr>
              <w:t xml:space="preserve">countries)   </w:t>
            </w:r>
            <w:proofErr w:type="gramEnd"/>
            <w:r w:rsidRPr="0054361E">
              <w:rPr>
                <w:rFonts w:cs="Arial"/>
                <w:b w:val="0"/>
                <w:bCs w:val="0"/>
                <w:sz w:val="18"/>
                <w:szCs w:val="18"/>
                <w:lang w:val="en-US"/>
              </w:rPr>
              <w:t xml:space="preserve">                     EU &amp; non-EU based supplier</w:t>
            </w:r>
          </w:p>
        </w:tc>
        <w:tc>
          <w:tcPr>
            <w:tcW w:w="885" w:type="dxa"/>
            <w:vMerge w:val="restart"/>
          </w:tcPr>
          <w:p w14:paraId="689D333C"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06" w:type="dxa"/>
            <w:vMerge w:val="restart"/>
          </w:tcPr>
          <w:p w14:paraId="71C37064"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1200</w:t>
            </w:r>
          </w:p>
          <w:p w14:paraId="71BBA63C"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(1 md)</w:t>
            </w:r>
          </w:p>
        </w:tc>
        <w:tc>
          <w:tcPr>
            <w:tcW w:w="993" w:type="dxa"/>
            <w:vMerge w:val="restart"/>
          </w:tcPr>
          <w:p w14:paraId="46E53A04"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62EF8CC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3" w:type="dxa"/>
            <w:vMerge w:val="restart"/>
          </w:tcPr>
          <w:p w14:paraId="1AF8D2FD"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56C2F0D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450</w:t>
            </w:r>
          </w:p>
        </w:tc>
        <w:tc>
          <w:tcPr>
            <w:tcW w:w="1134" w:type="dxa"/>
          </w:tcPr>
          <w:p w14:paraId="0F9DC258" w14:textId="77777777" w:rsidR="00A01447" w:rsidRPr="0054361E" w:rsidRDefault="003875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993" w:type="dxa"/>
          </w:tcPr>
          <w:p w14:paraId="32356ED4"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3550</w:t>
            </w:r>
          </w:p>
        </w:tc>
      </w:tr>
      <w:tr w:rsidR="00847D9E" w:rsidRPr="00C049B0" w14:paraId="1C755DE4" w14:textId="77777777" w:rsidTr="0079623C">
        <w:trPr>
          <w:gridAfter w:val="1"/>
          <w:wAfter w:w="62" w:type="dxa"/>
          <w:trHeight w:val="650"/>
        </w:trPr>
        <w:tc>
          <w:tcPr>
            <w:cnfStyle w:val="001000000000" w:firstRow="0" w:lastRow="0" w:firstColumn="1" w:lastColumn="0" w:oddVBand="0" w:evenVBand="0" w:oddHBand="0" w:evenHBand="0" w:firstRowFirstColumn="0" w:firstRowLastColumn="0" w:lastRowFirstColumn="0" w:lastRowLastColumn="0"/>
            <w:tcW w:w="2802" w:type="dxa"/>
            <w:vMerge/>
          </w:tcPr>
          <w:p w14:paraId="09960C05" w14:textId="77777777" w:rsidR="00A01447" w:rsidRPr="0054361E" w:rsidRDefault="00A01447" w:rsidP="00864059">
            <w:pPr>
              <w:rPr>
                <w:rFonts w:cs="Arial"/>
                <w:b w:val="0"/>
                <w:bCs w:val="0"/>
                <w:sz w:val="18"/>
                <w:szCs w:val="18"/>
                <w:lang w:val="en-US"/>
              </w:rPr>
            </w:pPr>
          </w:p>
        </w:tc>
        <w:tc>
          <w:tcPr>
            <w:tcW w:w="885" w:type="dxa"/>
            <w:vMerge/>
          </w:tcPr>
          <w:p w14:paraId="5C57CDDE"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06" w:type="dxa"/>
            <w:vMerge/>
          </w:tcPr>
          <w:p w14:paraId="2F81A460"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993" w:type="dxa"/>
            <w:vMerge/>
          </w:tcPr>
          <w:p w14:paraId="1B8BD1D7"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3" w:type="dxa"/>
            <w:vMerge/>
          </w:tcPr>
          <w:p w14:paraId="5DFDEC36"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tcPr>
          <w:p w14:paraId="715BBBEA" w14:textId="77777777" w:rsidR="00A01447" w:rsidRPr="0054361E" w:rsidRDefault="003875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6744FA37"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93" w:type="dxa"/>
          </w:tcPr>
          <w:p w14:paraId="5C3FF3B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4050</w:t>
            </w:r>
          </w:p>
        </w:tc>
      </w:tr>
      <w:tr w:rsidR="00847D9E" w:rsidRPr="00C049B0" w14:paraId="4C47E45F" w14:textId="77777777" w:rsidTr="0079623C">
        <w:trPr>
          <w:gridAfter w:val="1"/>
          <w:wAfter w:w="62" w:type="dxa"/>
          <w:trHeight w:val="35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5D9FC653"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 xml:space="preserve">PROCESSING PLANTS                                  </w:t>
            </w:r>
            <w:proofErr w:type="gramStart"/>
            <w:r w:rsidRPr="0054361E">
              <w:rPr>
                <w:rFonts w:cs="Arial"/>
                <w:b w:val="0"/>
                <w:bCs w:val="0"/>
                <w:sz w:val="18"/>
                <w:szCs w:val="18"/>
                <w:lang w:val="en-US"/>
              </w:rPr>
              <w:t xml:space="preserve">   (</w:t>
            </w:r>
            <w:proofErr w:type="gramEnd"/>
            <w:r w:rsidRPr="0054361E">
              <w:rPr>
                <w:rFonts w:cs="Arial"/>
                <w:b w:val="0"/>
                <w:bCs w:val="0"/>
                <w:sz w:val="18"/>
                <w:szCs w:val="18"/>
                <w:lang w:val="en-US"/>
              </w:rPr>
              <w:t>no random sample, all countries)</w:t>
            </w:r>
          </w:p>
        </w:tc>
        <w:tc>
          <w:tcPr>
            <w:tcW w:w="885" w:type="dxa"/>
            <w:vMerge w:val="restart"/>
          </w:tcPr>
          <w:p w14:paraId="55883777"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06" w:type="dxa"/>
            <w:vMerge w:val="restart"/>
          </w:tcPr>
          <w:p w14:paraId="65C4BDD9"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2400</w:t>
            </w:r>
          </w:p>
          <w:p w14:paraId="47B42412"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(2 md)</w:t>
            </w:r>
          </w:p>
        </w:tc>
        <w:tc>
          <w:tcPr>
            <w:tcW w:w="993" w:type="dxa"/>
            <w:vMerge w:val="restart"/>
          </w:tcPr>
          <w:p w14:paraId="64D89224" w14:textId="77777777" w:rsidR="00D95594" w:rsidRDefault="00A01447" w:rsidP="00D95594">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636B537B" w14:textId="77777777" w:rsidR="00A01447" w:rsidRPr="0054361E" w:rsidRDefault="00A01447" w:rsidP="00D95594">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3" w:type="dxa"/>
            <w:vMerge w:val="restart"/>
          </w:tcPr>
          <w:p w14:paraId="276E7ECF"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55039EF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350,0</w:t>
            </w:r>
          </w:p>
        </w:tc>
        <w:tc>
          <w:tcPr>
            <w:tcW w:w="1134" w:type="dxa"/>
          </w:tcPr>
          <w:p w14:paraId="06F66CC9" w14:textId="77777777" w:rsidR="00A01447" w:rsidRPr="0054361E" w:rsidRDefault="003875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993" w:type="dxa"/>
          </w:tcPr>
          <w:p w14:paraId="36B8029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4650</w:t>
            </w:r>
          </w:p>
        </w:tc>
      </w:tr>
      <w:tr w:rsidR="00847D9E" w:rsidRPr="00C049B0" w14:paraId="0A7C421C" w14:textId="77777777" w:rsidTr="0079623C">
        <w:trPr>
          <w:gridAfter w:val="1"/>
          <w:wAfter w:w="62" w:type="dxa"/>
          <w:trHeight w:val="400"/>
        </w:trPr>
        <w:tc>
          <w:tcPr>
            <w:cnfStyle w:val="001000000000" w:firstRow="0" w:lastRow="0" w:firstColumn="1" w:lastColumn="0" w:oddVBand="0" w:evenVBand="0" w:oddHBand="0" w:evenHBand="0" w:firstRowFirstColumn="0" w:firstRowLastColumn="0" w:lastRowFirstColumn="0" w:lastRowLastColumn="0"/>
            <w:tcW w:w="2802" w:type="dxa"/>
            <w:vMerge/>
          </w:tcPr>
          <w:p w14:paraId="7D10ECF8" w14:textId="77777777" w:rsidR="00A01447" w:rsidRPr="0054361E" w:rsidRDefault="00A01447" w:rsidP="00864059">
            <w:pPr>
              <w:rPr>
                <w:rFonts w:cs="Arial"/>
                <w:b w:val="0"/>
                <w:bCs w:val="0"/>
                <w:sz w:val="18"/>
                <w:szCs w:val="18"/>
                <w:lang w:val="en-US"/>
              </w:rPr>
            </w:pPr>
          </w:p>
        </w:tc>
        <w:tc>
          <w:tcPr>
            <w:tcW w:w="885" w:type="dxa"/>
            <w:vMerge/>
          </w:tcPr>
          <w:p w14:paraId="0D5FEBD8"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06" w:type="dxa"/>
            <w:vMerge/>
          </w:tcPr>
          <w:p w14:paraId="33E779C9"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993" w:type="dxa"/>
            <w:vMerge/>
          </w:tcPr>
          <w:p w14:paraId="5237F65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3" w:type="dxa"/>
            <w:vMerge/>
          </w:tcPr>
          <w:p w14:paraId="47F1B3FB"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tcPr>
          <w:p w14:paraId="1E927841" w14:textId="77777777" w:rsidR="00A01447" w:rsidRPr="0054361E" w:rsidRDefault="003875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741C27CF"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93" w:type="dxa"/>
          </w:tcPr>
          <w:p w14:paraId="77301400"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5250</w:t>
            </w:r>
          </w:p>
        </w:tc>
      </w:tr>
      <w:tr w:rsidR="00847D9E" w:rsidRPr="00C049B0" w14:paraId="6A66B922" w14:textId="77777777" w:rsidTr="0079623C">
        <w:trPr>
          <w:gridAfter w:val="1"/>
          <w:wAfter w:w="62" w:type="dxa"/>
          <w:trHeight w:val="33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5C00D442"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 xml:space="preserve">TRADERS                                  </w:t>
            </w:r>
            <w:proofErr w:type="gramStart"/>
            <w:r w:rsidRPr="0054361E">
              <w:rPr>
                <w:rFonts w:cs="Arial"/>
                <w:b w:val="0"/>
                <w:bCs w:val="0"/>
                <w:sz w:val="18"/>
                <w:szCs w:val="18"/>
                <w:lang w:val="en-US"/>
              </w:rPr>
              <w:t xml:space="preserve">   (</w:t>
            </w:r>
            <w:proofErr w:type="gramEnd"/>
            <w:r w:rsidRPr="0054361E">
              <w:rPr>
                <w:rFonts w:cs="Arial"/>
                <w:b w:val="0"/>
                <w:bCs w:val="0"/>
                <w:sz w:val="18"/>
                <w:szCs w:val="18"/>
                <w:lang w:val="en-US"/>
              </w:rPr>
              <w:t>no random sample, all countries)</w:t>
            </w:r>
          </w:p>
        </w:tc>
        <w:tc>
          <w:tcPr>
            <w:tcW w:w="885" w:type="dxa"/>
            <w:vMerge w:val="restart"/>
          </w:tcPr>
          <w:p w14:paraId="26DBC8A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06" w:type="dxa"/>
            <w:vMerge w:val="restart"/>
          </w:tcPr>
          <w:p w14:paraId="58ACD4D4"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1800</w:t>
            </w:r>
          </w:p>
          <w:p w14:paraId="796DAB0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(1</w:t>
            </w:r>
            <w:r w:rsidR="00527864">
              <w:rPr>
                <w:rFonts w:cs="Arial"/>
                <w:b/>
                <w:sz w:val="18"/>
                <w:szCs w:val="18"/>
                <w:lang w:val="en-US"/>
              </w:rPr>
              <w:t>.</w:t>
            </w:r>
            <w:r w:rsidRPr="0054361E">
              <w:rPr>
                <w:rFonts w:cs="Arial"/>
                <w:b/>
                <w:sz w:val="18"/>
                <w:szCs w:val="18"/>
                <w:lang w:val="en-US"/>
              </w:rPr>
              <w:t>5 md)</w:t>
            </w:r>
          </w:p>
        </w:tc>
        <w:tc>
          <w:tcPr>
            <w:tcW w:w="993" w:type="dxa"/>
            <w:vMerge w:val="restart"/>
          </w:tcPr>
          <w:p w14:paraId="7F46CF21" w14:textId="77777777" w:rsidR="00D95594" w:rsidRDefault="00A01447" w:rsidP="00D95594">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5A852FFB" w14:textId="77777777" w:rsidR="00A01447" w:rsidRPr="0054361E" w:rsidRDefault="00A01447" w:rsidP="00D95594">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3" w:type="dxa"/>
            <w:vMerge w:val="restart"/>
          </w:tcPr>
          <w:p w14:paraId="428E87ED"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71015D7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350</w:t>
            </w:r>
          </w:p>
        </w:tc>
        <w:tc>
          <w:tcPr>
            <w:tcW w:w="1134" w:type="dxa"/>
          </w:tcPr>
          <w:p w14:paraId="5C6BC4A5" w14:textId="77777777" w:rsidR="00A01447" w:rsidRPr="0054361E" w:rsidRDefault="003875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993" w:type="dxa"/>
          </w:tcPr>
          <w:p w14:paraId="2D63D81E"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4050</w:t>
            </w:r>
          </w:p>
        </w:tc>
      </w:tr>
      <w:tr w:rsidR="00847D9E" w:rsidRPr="00C049B0" w14:paraId="75BC9624" w14:textId="77777777" w:rsidTr="0079623C">
        <w:trPr>
          <w:gridAfter w:val="1"/>
          <w:wAfter w:w="62" w:type="dxa"/>
          <w:trHeight w:val="430"/>
        </w:trPr>
        <w:tc>
          <w:tcPr>
            <w:cnfStyle w:val="001000000000" w:firstRow="0" w:lastRow="0" w:firstColumn="1" w:lastColumn="0" w:oddVBand="0" w:evenVBand="0" w:oddHBand="0" w:evenHBand="0" w:firstRowFirstColumn="0" w:firstRowLastColumn="0" w:lastRowFirstColumn="0" w:lastRowLastColumn="0"/>
            <w:tcW w:w="2802" w:type="dxa"/>
            <w:vMerge/>
          </w:tcPr>
          <w:p w14:paraId="01D93D13" w14:textId="77777777" w:rsidR="00A01447" w:rsidRPr="0054361E" w:rsidRDefault="00A01447" w:rsidP="00864059">
            <w:pPr>
              <w:rPr>
                <w:rFonts w:cs="Arial"/>
                <w:b w:val="0"/>
                <w:sz w:val="18"/>
                <w:szCs w:val="18"/>
                <w:lang w:val="en-US"/>
              </w:rPr>
            </w:pPr>
          </w:p>
        </w:tc>
        <w:tc>
          <w:tcPr>
            <w:tcW w:w="885" w:type="dxa"/>
            <w:vMerge/>
          </w:tcPr>
          <w:p w14:paraId="0608AEB7"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06" w:type="dxa"/>
            <w:vMerge/>
          </w:tcPr>
          <w:p w14:paraId="1623476D"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993" w:type="dxa"/>
            <w:vMerge/>
          </w:tcPr>
          <w:p w14:paraId="6277D9C2"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3" w:type="dxa"/>
            <w:vMerge/>
          </w:tcPr>
          <w:p w14:paraId="2AE9C8C6"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tcPr>
          <w:p w14:paraId="65C81544" w14:textId="77777777" w:rsidR="00A01447" w:rsidRPr="0054361E" w:rsidRDefault="003875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47E4BA87"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93" w:type="dxa"/>
          </w:tcPr>
          <w:p w14:paraId="2CD4AB4E"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4650</w:t>
            </w:r>
          </w:p>
        </w:tc>
      </w:tr>
    </w:tbl>
    <w:p w14:paraId="5ED8D5DE" w14:textId="77777777" w:rsidR="00D95594" w:rsidRPr="0038755D" w:rsidRDefault="0038755D" w:rsidP="00A01447">
      <w:pPr>
        <w:shd w:val="clear" w:color="auto" w:fill="FFFFFF"/>
        <w:rPr>
          <w:sz w:val="18"/>
          <w:szCs w:val="18"/>
          <w:lang w:val="en-US"/>
        </w:rPr>
      </w:pPr>
      <w:r w:rsidRPr="0038755D">
        <w:rPr>
          <w:sz w:val="18"/>
          <w:szCs w:val="18"/>
          <w:lang w:val="en-US"/>
        </w:rPr>
        <w:t>n/a – not applicable</w:t>
      </w:r>
      <w:r w:rsidR="00527864">
        <w:rPr>
          <w:sz w:val="18"/>
          <w:szCs w:val="18"/>
          <w:lang w:val="en-US"/>
        </w:rPr>
        <w:t xml:space="preserve">, </w:t>
      </w:r>
      <w:r w:rsidR="00D95594">
        <w:rPr>
          <w:sz w:val="18"/>
          <w:szCs w:val="18"/>
          <w:lang w:val="en-US"/>
        </w:rPr>
        <w:t>p.md – person month</w:t>
      </w:r>
      <w:r w:rsidR="00527864">
        <w:rPr>
          <w:sz w:val="18"/>
          <w:szCs w:val="18"/>
          <w:lang w:val="en-US"/>
        </w:rPr>
        <w:t>, md - month</w:t>
      </w:r>
    </w:p>
    <w:p w14:paraId="3F9189FA" w14:textId="77777777" w:rsidR="0038755D" w:rsidRDefault="0038755D" w:rsidP="00A01447">
      <w:pPr>
        <w:shd w:val="clear" w:color="auto" w:fill="FFFFFF"/>
        <w:rPr>
          <w:lang w:val="en-US"/>
        </w:rPr>
      </w:pPr>
    </w:p>
    <w:p w14:paraId="4D671DFA" w14:textId="77777777" w:rsidR="00A01447" w:rsidRDefault="00A01447" w:rsidP="004C0571">
      <w:pPr>
        <w:pStyle w:val="Caption"/>
        <w:rPr>
          <w:szCs w:val="22"/>
          <w:lang w:val="en-US"/>
        </w:rPr>
      </w:pPr>
      <w:bookmarkStart w:id="17" w:name="_Ref167451017"/>
      <w:r>
        <w:t xml:space="preserve">Table </w:t>
      </w:r>
      <w:r>
        <w:fldChar w:fldCharType="begin"/>
      </w:r>
      <w:r>
        <w:instrText xml:space="preserve"> SEQ Table \* ARABIC </w:instrText>
      </w:r>
      <w:r>
        <w:fldChar w:fldCharType="separate"/>
      </w:r>
      <w:r w:rsidR="005F7B06">
        <w:rPr>
          <w:noProof/>
        </w:rPr>
        <w:t>4</w:t>
      </w:r>
      <w:r>
        <w:rPr>
          <w:noProof/>
        </w:rPr>
        <w:fldChar w:fldCharType="end"/>
      </w:r>
      <w:bookmarkEnd w:id="17"/>
      <w:r>
        <w:t>: Average net prices for supply chain elements with group certification option</w:t>
      </w:r>
    </w:p>
    <w:tbl>
      <w:tblPr>
        <w:tblStyle w:val="GridTable1Light"/>
        <w:tblW w:w="10218" w:type="dxa"/>
        <w:tblInd w:w="-431" w:type="dxa"/>
        <w:tblLayout w:type="fixed"/>
        <w:tblLook w:val="04A0" w:firstRow="1" w:lastRow="0" w:firstColumn="1" w:lastColumn="0" w:noHBand="0" w:noVBand="1"/>
      </w:tblPr>
      <w:tblGrid>
        <w:gridCol w:w="2802"/>
        <w:gridCol w:w="885"/>
        <w:gridCol w:w="1134"/>
        <w:gridCol w:w="992"/>
        <w:gridCol w:w="1134"/>
        <w:gridCol w:w="1134"/>
        <w:gridCol w:w="1134"/>
        <w:gridCol w:w="964"/>
        <w:gridCol w:w="39"/>
      </w:tblGrid>
      <w:tr w:rsidR="00A01447" w:rsidRPr="00C049B0" w14:paraId="0C915EB5" w14:textId="77777777" w:rsidTr="007962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07F5D7B7" w14:textId="77777777" w:rsidR="00A01447" w:rsidRPr="0054361E" w:rsidRDefault="00A01447" w:rsidP="00864059">
            <w:pPr>
              <w:rPr>
                <w:b w:val="0"/>
                <w:sz w:val="20"/>
                <w:szCs w:val="20"/>
                <w:lang w:val="en-US"/>
              </w:rPr>
            </w:pPr>
            <w:r w:rsidRPr="0054361E">
              <w:rPr>
                <w:sz w:val="20"/>
                <w:szCs w:val="20"/>
                <w:lang w:val="en-US"/>
              </w:rPr>
              <w:t>S</w:t>
            </w:r>
            <w:r w:rsidR="0054361E" w:rsidRPr="0054361E">
              <w:rPr>
                <w:sz w:val="20"/>
                <w:szCs w:val="20"/>
                <w:lang w:val="en-US"/>
              </w:rPr>
              <w:t xml:space="preserve">upply chain </w:t>
            </w:r>
            <w:proofErr w:type="gramStart"/>
            <w:r w:rsidR="0054361E" w:rsidRPr="0054361E">
              <w:rPr>
                <w:sz w:val="20"/>
                <w:szCs w:val="20"/>
                <w:lang w:val="en-US"/>
              </w:rPr>
              <w:t>elements</w:t>
            </w:r>
            <w:proofErr w:type="gramEnd"/>
            <w:r w:rsidR="0054361E" w:rsidRPr="0054361E">
              <w:rPr>
                <w:sz w:val="20"/>
                <w:szCs w:val="20"/>
                <w:lang w:val="en-US"/>
              </w:rPr>
              <w:t xml:space="preserve"> </w:t>
            </w:r>
          </w:p>
          <w:p w14:paraId="7D613D6D" w14:textId="77777777" w:rsidR="00A01447" w:rsidRPr="0054361E" w:rsidRDefault="00A01447" w:rsidP="00864059">
            <w:pPr>
              <w:rPr>
                <w:b w:val="0"/>
                <w:sz w:val="20"/>
                <w:szCs w:val="20"/>
                <w:lang w:val="en-US"/>
              </w:rPr>
            </w:pPr>
          </w:p>
        </w:tc>
        <w:tc>
          <w:tcPr>
            <w:tcW w:w="7416" w:type="dxa"/>
            <w:gridSpan w:val="8"/>
          </w:tcPr>
          <w:p w14:paraId="167E7669" w14:textId="77777777" w:rsidR="00A01447" w:rsidRPr="0054361E" w:rsidRDefault="0054361E" w:rsidP="00864059">
            <w:pPr>
              <w:jc w:val="center"/>
              <w:cnfStyle w:val="100000000000" w:firstRow="1" w:lastRow="0" w:firstColumn="0" w:lastColumn="0" w:oddVBand="0" w:evenVBand="0" w:oddHBand="0" w:evenHBand="0" w:firstRowFirstColumn="0" w:firstRowLastColumn="0" w:lastRowFirstColumn="0" w:lastRowLastColumn="0"/>
              <w:rPr>
                <w:b w:val="0"/>
                <w:sz w:val="20"/>
                <w:szCs w:val="20"/>
                <w:lang w:val="en-US"/>
              </w:rPr>
            </w:pPr>
            <w:r w:rsidRPr="0054361E">
              <w:rPr>
                <w:sz w:val="20"/>
                <w:szCs w:val="20"/>
                <w:lang w:val="en-US"/>
              </w:rPr>
              <w:t>Average net prices €</w:t>
            </w:r>
          </w:p>
        </w:tc>
      </w:tr>
      <w:tr w:rsidR="00C97D88" w:rsidRPr="00C049B0" w14:paraId="6273965B" w14:textId="77777777" w:rsidTr="0079623C">
        <w:trPr>
          <w:gridAfter w:val="1"/>
          <w:wAfter w:w="39" w:type="dxa"/>
          <w:trHeight w:val="593"/>
        </w:trPr>
        <w:tc>
          <w:tcPr>
            <w:cnfStyle w:val="001000000000" w:firstRow="0" w:lastRow="0" w:firstColumn="1" w:lastColumn="0" w:oddVBand="0" w:evenVBand="0" w:oddHBand="0" w:evenHBand="0" w:firstRowFirstColumn="0" w:firstRowLastColumn="0" w:lastRowFirstColumn="0" w:lastRowLastColumn="0"/>
            <w:tcW w:w="2802" w:type="dxa"/>
            <w:vMerge/>
          </w:tcPr>
          <w:p w14:paraId="3FEB00F3" w14:textId="77777777" w:rsidR="00A01447" w:rsidRPr="00C049B0" w:rsidRDefault="00A01447" w:rsidP="00864059">
            <w:pPr>
              <w:rPr>
                <w:lang w:val="en-US"/>
              </w:rPr>
            </w:pPr>
          </w:p>
        </w:tc>
        <w:tc>
          <w:tcPr>
            <w:tcW w:w="885" w:type="dxa"/>
          </w:tcPr>
          <w:p w14:paraId="359030C9"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Administration     </w:t>
            </w:r>
            <w:proofErr w:type="gramStart"/>
            <w:r w:rsidRPr="00C049B0">
              <w:rPr>
                <w:sz w:val="18"/>
                <w:szCs w:val="18"/>
                <w:lang w:val="en-US"/>
              </w:rPr>
              <w:t xml:space="preserve">   (</w:t>
            </w:r>
            <w:proofErr w:type="gramEnd"/>
            <w:r w:rsidRPr="00C049B0">
              <w:rPr>
                <w:sz w:val="18"/>
                <w:szCs w:val="18"/>
                <w:lang w:val="en-US"/>
              </w:rPr>
              <w:t xml:space="preserve">Flat Rate </w:t>
            </w:r>
            <w:r w:rsidRPr="00C049B0">
              <w:rPr>
                <w:rFonts w:cs="Calibri"/>
                <w:sz w:val="18"/>
                <w:szCs w:val="18"/>
                <w:lang w:val="en-US"/>
              </w:rPr>
              <w:t>Ø)</w:t>
            </w:r>
          </w:p>
        </w:tc>
        <w:tc>
          <w:tcPr>
            <w:tcW w:w="1134" w:type="dxa"/>
          </w:tcPr>
          <w:p w14:paraId="77AC65EF"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Audit &amp; Reporting (p</w:t>
            </w:r>
            <w:r w:rsidR="00527864">
              <w:rPr>
                <w:sz w:val="18"/>
                <w:szCs w:val="18"/>
                <w:lang w:val="en-US"/>
              </w:rPr>
              <w:t>.md</w:t>
            </w:r>
            <w:r w:rsidRPr="00C049B0">
              <w:rPr>
                <w:sz w:val="18"/>
                <w:szCs w:val="18"/>
                <w:lang w:val="en-US"/>
              </w:rPr>
              <w:t>)</w:t>
            </w:r>
          </w:p>
        </w:tc>
        <w:tc>
          <w:tcPr>
            <w:tcW w:w="992" w:type="dxa"/>
          </w:tcPr>
          <w:p w14:paraId="2BCF76A4"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Technical                  Review                       </w:t>
            </w:r>
            <w:proofErr w:type="gramStart"/>
            <w:r w:rsidRPr="00C049B0">
              <w:rPr>
                <w:sz w:val="18"/>
                <w:szCs w:val="18"/>
                <w:lang w:val="en-US"/>
              </w:rPr>
              <w:t xml:space="preserve">   (</w:t>
            </w:r>
            <w:proofErr w:type="gramEnd"/>
            <w:r w:rsidRPr="00C049B0">
              <w:rPr>
                <w:sz w:val="18"/>
                <w:szCs w:val="18"/>
                <w:lang w:val="en-US"/>
              </w:rPr>
              <w:t>p</w:t>
            </w:r>
            <w:r w:rsidR="00527864">
              <w:rPr>
                <w:sz w:val="18"/>
                <w:szCs w:val="18"/>
                <w:lang w:val="en-US"/>
              </w:rPr>
              <w:t>.md</w:t>
            </w:r>
            <w:r w:rsidRPr="00C049B0">
              <w:rPr>
                <w:sz w:val="18"/>
                <w:szCs w:val="18"/>
                <w:lang w:val="en-US"/>
              </w:rPr>
              <w:t>)</w:t>
            </w:r>
          </w:p>
        </w:tc>
        <w:tc>
          <w:tcPr>
            <w:tcW w:w="1134" w:type="dxa"/>
          </w:tcPr>
          <w:p w14:paraId="51072BF2"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Certificate Fees             </w:t>
            </w:r>
            <w:proofErr w:type="gramStart"/>
            <w:r w:rsidRPr="00C049B0">
              <w:rPr>
                <w:sz w:val="18"/>
                <w:szCs w:val="18"/>
                <w:lang w:val="en-US"/>
              </w:rPr>
              <w:t xml:space="preserve">   (</w:t>
            </w:r>
            <w:proofErr w:type="gramEnd"/>
            <w:r w:rsidRPr="00C049B0">
              <w:rPr>
                <w:sz w:val="18"/>
                <w:szCs w:val="18"/>
                <w:lang w:val="en-US"/>
              </w:rPr>
              <w:t>CB&amp;CS)</w:t>
            </w:r>
            <w:r w:rsidRPr="00C049B0">
              <w:rPr>
                <w:rFonts w:cs="Calibri"/>
                <w:sz w:val="18"/>
                <w:szCs w:val="18"/>
                <w:lang w:val="en-US"/>
              </w:rPr>
              <w:t xml:space="preserve">  Ø</w:t>
            </w:r>
          </w:p>
        </w:tc>
        <w:tc>
          <w:tcPr>
            <w:tcW w:w="1134" w:type="dxa"/>
          </w:tcPr>
          <w:p w14:paraId="1B2DCFDD"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Expenses                </w:t>
            </w:r>
            <w:proofErr w:type="gramStart"/>
            <w:r w:rsidRPr="00C049B0">
              <w:rPr>
                <w:sz w:val="18"/>
                <w:szCs w:val="18"/>
                <w:lang w:val="en-US"/>
              </w:rPr>
              <w:t xml:space="preserve">   (</w:t>
            </w:r>
            <w:proofErr w:type="gramEnd"/>
            <w:r w:rsidRPr="00C049B0">
              <w:rPr>
                <w:sz w:val="18"/>
                <w:szCs w:val="18"/>
                <w:lang w:val="en-US"/>
              </w:rPr>
              <w:t xml:space="preserve">own country) </w:t>
            </w:r>
            <w:r w:rsidRPr="00C049B0">
              <w:rPr>
                <w:rFonts w:cs="Calibri"/>
                <w:sz w:val="18"/>
                <w:szCs w:val="18"/>
                <w:lang w:val="en-US"/>
              </w:rPr>
              <w:t>Ø</w:t>
            </w:r>
          </w:p>
        </w:tc>
        <w:tc>
          <w:tcPr>
            <w:tcW w:w="1134" w:type="dxa"/>
          </w:tcPr>
          <w:p w14:paraId="478C08CF" w14:textId="77777777" w:rsidR="00A01447" w:rsidRPr="00B47065" w:rsidRDefault="00A01447" w:rsidP="00864059">
            <w:pPr>
              <w:jc w:val="center"/>
              <w:cnfStyle w:val="000000000000" w:firstRow="0" w:lastRow="0" w:firstColumn="0" w:lastColumn="0" w:oddVBand="0" w:evenVBand="0" w:oddHBand="0" w:evenHBand="0" w:firstRowFirstColumn="0" w:firstRowLastColumn="0" w:lastRowFirstColumn="0" w:lastRowLastColumn="0"/>
              <w:rPr>
                <w:sz w:val="18"/>
                <w:szCs w:val="18"/>
                <w:lang w:val="en-US"/>
              </w:rPr>
            </w:pPr>
            <w:r w:rsidRPr="00C049B0">
              <w:rPr>
                <w:sz w:val="18"/>
                <w:szCs w:val="18"/>
                <w:lang w:val="en-US"/>
              </w:rPr>
              <w:t xml:space="preserve">Expenses                </w:t>
            </w:r>
            <w:proofErr w:type="gramStart"/>
            <w:r w:rsidRPr="00C049B0">
              <w:rPr>
                <w:sz w:val="18"/>
                <w:szCs w:val="18"/>
                <w:lang w:val="en-US"/>
              </w:rPr>
              <w:t xml:space="preserve">   (</w:t>
            </w:r>
            <w:proofErr w:type="gramEnd"/>
            <w:r w:rsidRPr="00C049B0">
              <w:rPr>
                <w:sz w:val="18"/>
                <w:szCs w:val="18"/>
                <w:lang w:val="en-US"/>
              </w:rPr>
              <w:t xml:space="preserve">abroad) </w:t>
            </w:r>
            <w:r w:rsidRPr="00C049B0">
              <w:rPr>
                <w:rFonts w:cs="Calibri"/>
                <w:sz w:val="18"/>
                <w:szCs w:val="18"/>
                <w:lang w:val="en-US"/>
              </w:rPr>
              <w:t>Ø</w:t>
            </w:r>
          </w:p>
        </w:tc>
        <w:tc>
          <w:tcPr>
            <w:tcW w:w="964" w:type="dxa"/>
          </w:tcPr>
          <w:p w14:paraId="623AB787"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bCs/>
                <w:sz w:val="20"/>
                <w:szCs w:val="20"/>
                <w:lang w:val="en-US"/>
              </w:rPr>
            </w:pPr>
            <w:r w:rsidRPr="0054361E">
              <w:rPr>
                <w:bCs/>
                <w:sz w:val="20"/>
                <w:szCs w:val="20"/>
                <w:lang w:val="en-US"/>
              </w:rPr>
              <w:t>TOTAL</w:t>
            </w:r>
          </w:p>
          <w:p w14:paraId="019F9714" w14:textId="77777777" w:rsidR="00A01447" w:rsidRPr="00C049B0" w:rsidRDefault="00A01447" w:rsidP="00864059">
            <w:pPr>
              <w:jc w:val="center"/>
              <w:cnfStyle w:val="000000000000" w:firstRow="0" w:lastRow="0" w:firstColumn="0" w:lastColumn="0" w:oddVBand="0" w:evenVBand="0" w:oddHBand="0" w:evenHBand="0" w:firstRowFirstColumn="0" w:firstRowLastColumn="0" w:lastRowFirstColumn="0" w:lastRowLastColumn="0"/>
              <w:rPr>
                <w:lang w:val="en-US"/>
              </w:rPr>
            </w:pPr>
            <w:r w:rsidRPr="0054361E">
              <w:rPr>
                <w:rFonts w:cs="Calibri"/>
                <w:bCs/>
                <w:sz w:val="20"/>
                <w:szCs w:val="20"/>
                <w:lang w:val="en-US"/>
              </w:rPr>
              <w:t>Ø</w:t>
            </w:r>
          </w:p>
        </w:tc>
      </w:tr>
      <w:tr w:rsidR="00C97D88" w:rsidRPr="00C049B0" w14:paraId="768EABB9" w14:textId="77777777" w:rsidTr="0079623C">
        <w:trPr>
          <w:gridAfter w:val="1"/>
          <w:wAfter w:w="39" w:type="dxa"/>
          <w:trHeight w:val="72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075C14D4"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 xml:space="preserve">GROUP CERTIFICATION (First Gathering Points, </w:t>
            </w:r>
            <w:proofErr w:type="gramStart"/>
            <w:r w:rsidRPr="0054361E">
              <w:rPr>
                <w:rFonts w:cs="Arial"/>
                <w:b w:val="0"/>
                <w:bCs w:val="0"/>
                <w:sz w:val="18"/>
                <w:szCs w:val="18"/>
                <w:lang w:val="en-US"/>
              </w:rPr>
              <w:t>Farmer  Groups</w:t>
            </w:r>
            <w:proofErr w:type="gramEnd"/>
            <w:r w:rsidRPr="0054361E">
              <w:rPr>
                <w:rFonts w:cs="Arial"/>
                <w:b w:val="0"/>
                <w:bCs w:val="0"/>
                <w:sz w:val="18"/>
                <w:szCs w:val="18"/>
                <w:lang w:val="en-US"/>
              </w:rPr>
              <w:t xml:space="preserve"> – own country) </w:t>
            </w:r>
          </w:p>
          <w:p w14:paraId="7297B9F1" w14:textId="77777777" w:rsidR="00620C0C" w:rsidRPr="0054361E" w:rsidRDefault="00A01447" w:rsidP="00620C0C">
            <w:pPr>
              <w:rPr>
                <w:rFonts w:cs="Arial"/>
                <w:b w:val="0"/>
                <w:bCs w:val="0"/>
                <w:sz w:val="18"/>
                <w:szCs w:val="18"/>
                <w:lang w:val="en-US"/>
              </w:rPr>
            </w:pPr>
            <w:r w:rsidRPr="0054361E">
              <w:rPr>
                <w:rFonts w:cs="Arial"/>
                <w:b w:val="0"/>
                <w:bCs w:val="0"/>
                <w:sz w:val="18"/>
                <w:szCs w:val="18"/>
                <w:lang w:val="en-US"/>
              </w:rPr>
              <w:t>Number of farms from 10-16                    random sample: Four Farms to audit</w:t>
            </w:r>
          </w:p>
          <w:p w14:paraId="41C543D8"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Region: EU</w:t>
            </w:r>
          </w:p>
        </w:tc>
        <w:tc>
          <w:tcPr>
            <w:tcW w:w="885" w:type="dxa"/>
            <w:vMerge w:val="restart"/>
          </w:tcPr>
          <w:p w14:paraId="47C8818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34" w:type="dxa"/>
            <w:vMerge w:val="restart"/>
          </w:tcPr>
          <w:p w14:paraId="721DB32A"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4200</w:t>
            </w:r>
          </w:p>
          <w:p w14:paraId="786F4904"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(3</w:t>
            </w:r>
            <w:r w:rsidR="00527864">
              <w:rPr>
                <w:rFonts w:cs="Arial"/>
                <w:b/>
                <w:sz w:val="18"/>
                <w:szCs w:val="18"/>
                <w:lang w:val="en-US"/>
              </w:rPr>
              <w:t>.</w:t>
            </w:r>
            <w:r w:rsidRPr="0054361E">
              <w:rPr>
                <w:rFonts w:cs="Arial"/>
                <w:b/>
                <w:sz w:val="18"/>
                <w:szCs w:val="18"/>
                <w:lang w:val="en-US"/>
              </w:rPr>
              <w:t>5 md)</w:t>
            </w:r>
          </w:p>
        </w:tc>
        <w:tc>
          <w:tcPr>
            <w:tcW w:w="992" w:type="dxa"/>
            <w:vMerge w:val="restart"/>
          </w:tcPr>
          <w:p w14:paraId="60511AE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22822B3F"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4" w:type="dxa"/>
            <w:vMerge w:val="restart"/>
          </w:tcPr>
          <w:p w14:paraId="76C1D81D"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058CD4A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450</w:t>
            </w:r>
          </w:p>
        </w:tc>
        <w:tc>
          <w:tcPr>
            <w:tcW w:w="1134" w:type="dxa"/>
          </w:tcPr>
          <w:p w14:paraId="06C62DB0" w14:textId="77777777" w:rsidR="00A01447" w:rsidRPr="0054361E" w:rsidRDefault="002B5A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964" w:type="dxa"/>
          </w:tcPr>
          <w:p w14:paraId="7BD35C7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6550</w:t>
            </w:r>
          </w:p>
        </w:tc>
      </w:tr>
      <w:tr w:rsidR="00C97D88" w:rsidRPr="00C049B0" w14:paraId="33C92B29" w14:textId="77777777" w:rsidTr="0079623C">
        <w:trPr>
          <w:gridAfter w:val="1"/>
          <w:wAfter w:w="39" w:type="dxa"/>
          <w:trHeight w:val="700"/>
        </w:trPr>
        <w:tc>
          <w:tcPr>
            <w:cnfStyle w:val="001000000000" w:firstRow="0" w:lastRow="0" w:firstColumn="1" w:lastColumn="0" w:oddVBand="0" w:evenVBand="0" w:oddHBand="0" w:evenHBand="0" w:firstRowFirstColumn="0" w:firstRowLastColumn="0" w:lastRowFirstColumn="0" w:lastRowLastColumn="0"/>
            <w:tcW w:w="2802" w:type="dxa"/>
            <w:vMerge/>
          </w:tcPr>
          <w:p w14:paraId="5A5ED376" w14:textId="77777777" w:rsidR="00A01447" w:rsidRPr="0054361E" w:rsidRDefault="00A01447" w:rsidP="00864059">
            <w:pPr>
              <w:rPr>
                <w:rFonts w:cs="Arial"/>
                <w:b w:val="0"/>
                <w:bCs w:val="0"/>
                <w:sz w:val="18"/>
                <w:szCs w:val="18"/>
                <w:lang w:val="en-US"/>
              </w:rPr>
            </w:pPr>
          </w:p>
        </w:tc>
        <w:tc>
          <w:tcPr>
            <w:tcW w:w="885" w:type="dxa"/>
            <w:vMerge/>
          </w:tcPr>
          <w:p w14:paraId="02E34E6E"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vMerge/>
          </w:tcPr>
          <w:p w14:paraId="65448F66"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992" w:type="dxa"/>
            <w:vMerge/>
          </w:tcPr>
          <w:p w14:paraId="123E3A2A"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vMerge/>
          </w:tcPr>
          <w:p w14:paraId="784A1C4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tcPr>
          <w:p w14:paraId="4E2B7A0D" w14:textId="77777777" w:rsidR="00A01447" w:rsidRPr="0054361E" w:rsidRDefault="002B5A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74F62FA4"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64" w:type="dxa"/>
          </w:tcPr>
          <w:p w14:paraId="238EAE80"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7050</w:t>
            </w:r>
          </w:p>
        </w:tc>
      </w:tr>
      <w:tr w:rsidR="00C97D88" w:rsidRPr="00C049B0" w14:paraId="6F7FA611" w14:textId="77777777" w:rsidTr="0079623C">
        <w:trPr>
          <w:gridAfter w:val="1"/>
          <w:wAfter w:w="39" w:type="dxa"/>
          <w:trHeight w:val="68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47898262" w14:textId="77777777" w:rsidR="00D5641C" w:rsidRPr="0054361E" w:rsidRDefault="00A01447">
            <w:pPr>
              <w:rPr>
                <w:rFonts w:cs="Arial"/>
                <w:b w:val="0"/>
                <w:bCs w:val="0"/>
                <w:sz w:val="18"/>
                <w:szCs w:val="18"/>
                <w:lang w:val="en-US"/>
              </w:rPr>
            </w:pPr>
            <w:r w:rsidRPr="0054361E">
              <w:rPr>
                <w:rFonts w:cs="Arial"/>
                <w:b w:val="0"/>
                <w:bCs w:val="0"/>
                <w:sz w:val="18"/>
                <w:szCs w:val="18"/>
                <w:lang w:val="en-US"/>
              </w:rPr>
              <w:t xml:space="preserve">GROUP CERTIFICATION (First Gathering Points, </w:t>
            </w:r>
            <w:proofErr w:type="gramStart"/>
            <w:r w:rsidRPr="0054361E">
              <w:rPr>
                <w:rFonts w:cs="Arial"/>
                <w:b w:val="0"/>
                <w:bCs w:val="0"/>
                <w:sz w:val="18"/>
                <w:szCs w:val="18"/>
                <w:lang w:val="en-US"/>
              </w:rPr>
              <w:t>Farmer  Groups</w:t>
            </w:r>
            <w:proofErr w:type="gramEnd"/>
            <w:r w:rsidRPr="0054361E">
              <w:rPr>
                <w:rFonts w:cs="Arial"/>
                <w:b w:val="0"/>
                <w:bCs w:val="0"/>
                <w:sz w:val="18"/>
                <w:szCs w:val="18"/>
                <w:lang w:val="en-US"/>
              </w:rPr>
              <w:t xml:space="preserve"> – abroad)</w:t>
            </w:r>
          </w:p>
          <w:p w14:paraId="015BD62D" w14:textId="77777777" w:rsidR="002B5A5D" w:rsidRDefault="00A01447" w:rsidP="00864059">
            <w:pPr>
              <w:rPr>
                <w:rFonts w:cs="Arial"/>
                <w:sz w:val="18"/>
                <w:szCs w:val="18"/>
                <w:lang w:val="en-US"/>
              </w:rPr>
            </w:pPr>
            <w:r w:rsidRPr="0054361E">
              <w:rPr>
                <w:rFonts w:cs="Arial"/>
                <w:b w:val="0"/>
                <w:bCs w:val="0"/>
                <w:sz w:val="18"/>
                <w:szCs w:val="18"/>
                <w:lang w:val="en-US"/>
              </w:rPr>
              <w:t>Number of Farms from 10-16                                              Random Sample: 4 Farms to audit</w:t>
            </w:r>
          </w:p>
          <w:p w14:paraId="3B343764"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 xml:space="preserve">Region: non-EU </w:t>
            </w:r>
          </w:p>
        </w:tc>
        <w:tc>
          <w:tcPr>
            <w:tcW w:w="885" w:type="dxa"/>
            <w:vMerge w:val="restart"/>
          </w:tcPr>
          <w:p w14:paraId="5D3DD64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34" w:type="dxa"/>
            <w:vMerge w:val="restart"/>
          </w:tcPr>
          <w:p w14:paraId="2851B2F7"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6000</w:t>
            </w:r>
          </w:p>
          <w:p w14:paraId="614B7369"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(5 md)</w:t>
            </w:r>
          </w:p>
        </w:tc>
        <w:tc>
          <w:tcPr>
            <w:tcW w:w="992" w:type="dxa"/>
            <w:vMerge w:val="restart"/>
          </w:tcPr>
          <w:p w14:paraId="26978080"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1D2983EC"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4" w:type="dxa"/>
            <w:vMerge w:val="restart"/>
          </w:tcPr>
          <w:p w14:paraId="5CB6AAE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66C76CA2"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w:t>
            </w:r>
          </w:p>
        </w:tc>
        <w:tc>
          <w:tcPr>
            <w:tcW w:w="1134" w:type="dxa"/>
          </w:tcPr>
          <w:p w14:paraId="0B9F6157"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w:t>
            </w:r>
          </w:p>
        </w:tc>
        <w:tc>
          <w:tcPr>
            <w:tcW w:w="964" w:type="dxa"/>
          </w:tcPr>
          <w:p w14:paraId="7C65FBF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w:t>
            </w:r>
          </w:p>
        </w:tc>
      </w:tr>
      <w:tr w:rsidR="00C97D88" w:rsidRPr="00C049B0" w14:paraId="65C11053" w14:textId="77777777" w:rsidTr="0079623C">
        <w:trPr>
          <w:gridAfter w:val="1"/>
          <w:wAfter w:w="39" w:type="dxa"/>
          <w:trHeight w:val="730"/>
        </w:trPr>
        <w:tc>
          <w:tcPr>
            <w:cnfStyle w:val="001000000000" w:firstRow="0" w:lastRow="0" w:firstColumn="1" w:lastColumn="0" w:oddVBand="0" w:evenVBand="0" w:oddHBand="0" w:evenHBand="0" w:firstRowFirstColumn="0" w:firstRowLastColumn="0" w:lastRowFirstColumn="0" w:lastRowLastColumn="0"/>
            <w:tcW w:w="2802" w:type="dxa"/>
            <w:vMerge/>
          </w:tcPr>
          <w:p w14:paraId="0F12BFB5" w14:textId="77777777" w:rsidR="00A01447" w:rsidRPr="0054361E" w:rsidRDefault="00A01447" w:rsidP="00864059">
            <w:pPr>
              <w:rPr>
                <w:rFonts w:cs="Arial"/>
                <w:b w:val="0"/>
                <w:bCs w:val="0"/>
                <w:sz w:val="18"/>
                <w:szCs w:val="18"/>
                <w:lang w:val="en-US"/>
              </w:rPr>
            </w:pPr>
          </w:p>
        </w:tc>
        <w:tc>
          <w:tcPr>
            <w:tcW w:w="885" w:type="dxa"/>
            <w:vMerge/>
          </w:tcPr>
          <w:p w14:paraId="5D513B06"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vMerge/>
          </w:tcPr>
          <w:p w14:paraId="10523ED5"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992" w:type="dxa"/>
            <w:vMerge/>
          </w:tcPr>
          <w:p w14:paraId="3E41293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vMerge/>
          </w:tcPr>
          <w:p w14:paraId="64D66FBA"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tcPr>
          <w:p w14:paraId="1189297C" w14:textId="77777777" w:rsidR="00A01447" w:rsidRPr="0054361E" w:rsidRDefault="002B5A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560937A3"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64" w:type="dxa"/>
          </w:tcPr>
          <w:p w14:paraId="3AA84DE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8850</w:t>
            </w:r>
          </w:p>
        </w:tc>
      </w:tr>
      <w:tr w:rsidR="00C97D88" w:rsidRPr="00C049B0" w14:paraId="4B9FF11A" w14:textId="77777777" w:rsidTr="0079623C">
        <w:trPr>
          <w:gridAfter w:val="1"/>
          <w:wAfter w:w="39" w:type="dxa"/>
          <w:trHeight w:val="610"/>
        </w:trPr>
        <w:tc>
          <w:tcPr>
            <w:cnfStyle w:val="001000000000" w:firstRow="0" w:lastRow="0" w:firstColumn="1" w:lastColumn="0" w:oddVBand="0" w:evenVBand="0" w:oddHBand="0" w:evenHBand="0" w:firstRowFirstColumn="0" w:firstRowLastColumn="0" w:lastRowFirstColumn="0" w:lastRowLastColumn="0"/>
            <w:tcW w:w="2802" w:type="dxa"/>
            <w:vMerge w:val="restart"/>
          </w:tcPr>
          <w:p w14:paraId="3A9C1A97" w14:textId="77777777" w:rsidR="00D5641C" w:rsidRPr="0054361E" w:rsidRDefault="00A01447" w:rsidP="00D5641C">
            <w:pPr>
              <w:rPr>
                <w:rFonts w:cs="Arial"/>
                <w:b w:val="0"/>
                <w:bCs w:val="0"/>
                <w:sz w:val="18"/>
                <w:szCs w:val="18"/>
                <w:lang w:val="en-US"/>
              </w:rPr>
            </w:pPr>
            <w:r w:rsidRPr="0054361E">
              <w:rPr>
                <w:rFonts w:cs="Arial"/>
                <w:b w:val="0"/>
                <w:bCs w:val="0"/>
                <w:sz w:val="18"/>
                <w:szCs w:val="18"/>
                <w:lang w:val="en-US"/>
              </w:rPr>
              <w:t xml:space="preserve">COLLECTING POINT OF WASTE &amp; RESIDUES (Collecting Point, </w:t>
            </w:r>
            <w:proofErr w:type="spellStart"/>
            <w:r w:rsidRPr="0054361E">
              <w:rPr>
                <w:rFonts w:cs="Arial"/>
                <w:b w:val="0"/>
                <w:bCs w:val="0"/>
                <w:sz w:val="18"/>
                <w:szCs w:val="18"/>
                <w:lang w:val="en-US"/>
              </w:rPr>
              <w:t>PoO</w:t>
            </w:r>
            <w:proofErr w:type="spellEnd"/>
            <w:r w:rsidRPr="0054361E">
              <w:rPr>
                <w:rFonts w:cs="Arial"/>
                <w:b w:val="0"/>
                <w:bCs w:val="0"/>
                <w:sz w:val="18"/>
                <w:szCs w:val="18"/>
                <w:lang w:val="en-US"/>
              </w:rPr>
              <w:t xml:space="preserve"> Groups, bio &amp; circular – all countries)</w:t>
            </w:r>
          </w:p>
          <w:p w14:paraId="11B4F5EA" w14:textId="77777777" w:rsidR="002B5A5D" w:rsidRDefault="00A01447" w:rsidP="00864059">
            <w:pPr>
              <w:rPr>
                <w:rFonts w:cs="Arial"/>
                <w:sz w:val="18"/>
                <w:szCs w:val="18"/>
                <w:lang w:val="en-US"/>
              </w:rPr>
            </w:pPr>
            <w:r w:rsidRPr="0054361E">
              <w:rPr>
                <w:rFonts w:cs="Arial"/>
                <w:b w:val="0"/>
                <w:bCs w:val="0"/>
                <w:sz w:val="18"/>
                <w:szCs w:val="18"/>
                <w:lang w:val="en-US"/>
              </w:rPr>
              <w:t xml:space="preserve">Number of </w:t>
            </w:r>
            <w:proofErr w:type="spellStart"/>
            <w:r w:rsidRPr="0054361E">
              <w:rPr>
                <w:rFonts w:cs="Arial"/>
                <w:b w:val="0"/>
                <w:bCs w:val="0"/>
                <w:sz w:val="18"/>
                <w:szCs w:val="18"/>
                <w:lang w:val="en-US"/>
              </w:rPr>
              <w:t>PoO</w:t>
            </w:r>
            <w:proofErr w:type="spellEnd"/>
            <w:r w:rsidRPr="0054361E">
              <w:rPr>
                <w:rFonts w:cs="Arial"/>
                <w:b w:val="0"/>
                <w:bCs w:val="0"/>
                <w:sz w:val="18"/>
                <w:szCs w:val="18"/>
                <w:lang w:val="en-US"/>
              </w:rPr>
              <w:t xml:space="preserve"> from 10-16 (&gt;120</w:t>
            </w:r>
            <w:proofErr w:type="gramStart"/>
            <w:r w:rsidRPr="0054361E">
              <w:rPr>
                <w:rFonts w:cs="Arial"/>
                <w:b w:val="0"/>
                <w:bCs w:val="0"/>
                <w:sz w:val="18"/>
                <w:szCs w:val="18"/>
                <w:lang w:val="en-US"/>
              </w:rPr>
              <w:t xml:space="preserve">mt)   </w:t>
            </w:r>
            <w:proofErr w:type="gramEnd"/>
            <w:r w:rsidRPr="0054361E">
              <w:rPr>
                <w:rFonts w:cs="Arial"/>
                <w:b w:val="0"/>
                <w:bCs w:val="0"/>
                <w:sz w:val="18"/>
                <w:szCs w:val="18"/>
                <w:lang w:val="en-US"/>
              </w:rPr>
              <w:t xml:space="preserve">                                           Ra</w:t>
            </w:r>
            <w:r w:rsidR="002B5A5D">
              <w:rPr>
                <w:rFonts w:cs="Arial"/>
                <w:b w:val="0"/>
                <w:bCs w:val="0"/>
                <w:sz w:val="18"/>
                <w:szCs w:val="18"/>
                <w:lang w:val="en-US"/>
              </w:rPr>
              <w:t>n</w:t>
            </w:r>
            <w:r w:rsidRPr="0054361E">
              <w:rPr>
                <w:rFonts w:cs="Arial"/>
                <w:b w:val="0"/>
                <w:bCs w:val="0"/>
                <w:sz w:val="18"/>
                <w:szCs w:val="18"/>
                <w:lang w:val="en-US"/>
              </w:rPr>
              <w:t xml:space="preserve">dom Sample: 4 </w:t>
            </w:r>
            <w:proofErr w:type="spellStart"/>
            <w:r w:rsidRPr="0054361E">
              <w:rPr>
                <w:rFonts w:cs="Arial"/>
                <w:b w:val="0"/>
                <w:bCs w:val="0"/>
                <w:sz w:val="18"/>
                <w:szCs w:val="18"/>
                <w:lang w:val="en-US"/>
              </w:rPr>
              <w:t>PoO</w:t>
            </w:r>
            <w:proofErr w:type="spellEnd"/>
            <w:r w:rsidRPr="0054361E">
              <w:rPr>
                <w:rFonts w:cs="Arial"/>
                <w:b w:val="0"/>
                <w:bCs w:val="0"/>
                <w:sz w:val="18"/>
                <w:szCs w:val="18"/>
                <w:lang w:val="en-US"/>
              </w:rPr>
              <w:t xml:space="preserve"> to audit                         </w:t>
            </w:r>
          </w:p>
          <w:p w14:paraId="664ACA6D" w14:textId="77777777" w:rsidR="00A01447" w:rsidRPr="0054361E" w:rsidRDefault="00A01447" w:rsidP="00864059">
            <w:pPr>
              <w:rPr>
                <w:rFonts w:cs="Arial"/>
                <w:b w:val="0"/>
                <w:bCs w:val="0"/>
                <w:sz w:val="18"/>
                <w:szCs w:val="18"/>
                <w:lang w:val="en-US"/>
              </w:rPr>
            </w:pPr>
            <w:r w:rsidRPr="0054361E">
              <w:rPr>
                <w:rFonts w:cs="Arial"/>
                <w:b w:val="0"/>
                <w:bCs w:val="0"/>
                <w:sz w:val="18"/>
                <w:szCs w:val="18"/>
                <w:lang w:val="en-US"/>
              </w:rPr>
              <w:t>Region: EU &amp; non-EU</w:t>
            </w:r>
          </w:p>
        </w:tc>
        <w:tc>
          <w:tcPr>
            <w:tcW w:w="885" w:type="dxa"/>
            <w:vMerge w:val="restart"/>
          </w:tcPr>
          <w:p w14:paraId="5E44AF2F"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400</w:t>
            </w:r>
          </w:p>
        </w:tc>
        <w:tc>
          <w:tcPr>
            <w:tcW w:w="1134" w:type="dxa"/>
            <w:vMerge w:val="restart"/>
          </w:tcPr>
          <w:p w14:paraId="0C017405"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3600</w:t>
            </w:r>
          </w:p>
          <w:p w14:paraId="2ECCA46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b/>
                <w:sz w:val="18"/>
                <w:szCs w:val="18"/>
                <w:lang w:val="en-US"/>
              </w:rPr>
            </w:pPr>
            <w:r w:rsidRPr="0054361E">
              <w:rPr>
                <w:rFonts w:cs="Arial"/>
                <w:b/>
                <w:sz w:val="18"/>
                <w:szCs w:val="18"/>
                <w:lang w:val="en-US"/>
              </w:rPr>
              <w:t>(3 md)</w:t>
            </w:r>
          </w:p>
        </w:tc>
        <w:tc>
          <w:tcPr>
            <w:tcW w:w="992" w:type="dxa"/>
            <w:vMerge w:val="restart"/>
          </w:tcPr>
          <w:p w14:paraId="7BCBF348"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600</w:t>
            </w:r>
          </w:p>
          <w:p w14:paraId="5A4118A0"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b/>
                <w:sz w:val="18"/>
                <w:szCs w:val="18"/>
                <w:lang w:val="en-US"/>
              </w:rPr>
              <w:t>(0</w:t>
            </w:r>
            <w:r w:rsidR="00527864">
              <w:rPr>
                <w:rFonts w:cs="Arial"/>
                <w:b/>
                <w:sz w:val="18"/>
                <w:szCs w:val="18"/>
                <w:lang w:val="en-US"/>
              </w:rPr>
              <w:t>.</w:t>
            </w:r>
            <w:r w:rsidRPr="0054361E">
              <w:rPr>
                <w:rFonts w:cs="Arial"/>
                <w:b/>
                <w:sz w:val="18"/>
                <w:szCs w:val="18"/>
                <w:lang w:val="en-US"/>
              </w:rPr>
              <w:t>5 md)</w:t>
            </w:r>
          </w:p>
        </w:tc>
        <w:tc>
          <w:tcPr>
            <w:tcW w:w="1134" w:type="dxa"/>
            <w:vMerge w:val="restart"/>
          </w:tcPr>
          <w:p w14:paraId="0E5A9B8D"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900</w:t>
            </w:r>
          </w:p>
        </w:tc>
        <w:tc>
          <w:tcPr>
            <w:tcW w:w="1134" w:type="dxa"/>
          </w:tcPr>
          <w:p w14:paraId="450E3981"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450</w:t>
            </w:r>
          </w:p>
        </w:tc>
        <w:tc>
          <w:tcPr>
            <w:tcW w:w="1134" w:type="dxa"/>
          </w:tcPr>
          <w:p w14:paraId="4DC0D611" w14:textId="77777777" w:rsidR="00A01447" w:rsidRPr="0054361E" w:rsidRDefault="002B5A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964" w:type="dxa"/>
          </w:tcPr>
          <w:p w14:paraId="79E11999"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5950</w:t>
            </w:r>
          </w:p>
        </w:tc>
      </w:tr>
      <w:tr w:rsidR="00C97D88" w:rsidRPr="00C049B0" w14:paraId="1D067CCF" w14:textId="77777777" w:rsidTr="0079623C">
        <w:trPr>
          <w:gridAfter w:val="1"/>
          <w:wAfter w:w="39" w:type="dxa"/>
          <w:trHeight w:val="650"/>
        </w:trPr>
        <w:tc>
          <w:tcPr>
            <w:cnfStyle w:val="001000000000" w:firstRow="0" w:lastRow="0" w:firstColumn="1" w:lastColumn="0" w:oddVBand="0" w:evenVBand="0" w:oddHBand="0" w:evenHBand="0" w:firstRowFirstColumn="0" w:firstRowLastColumn="0" w:lastRowFirstColumn="0" w:lastRowLastColumn="0"/>
            <w:tcW w:w="2802" w:type="dxa"/>
            <w:vMerge/>
          </w:tcPr>
          <w:p w14:paraId="51F14949" w14:textId="77777777" w:rsidR="00A01447" w:rsidRPr="0054361E" w:rsidRDefault="00A01447" w:rsidP="00864059">
            <w:pPr>
              <w:rPr>
                <w:rFonts w:cs="Arial"/>
                <w:b w:val="0"/>
                <w:sz w:val="18"/>
                <w:szCs w:val="18"/>
                <w:lang w:val="en-US"/>
              </w:rPr>
            </w:pPr>
          </w:p>
        </w:tc>
        <w:tc>
          <w:tcPr>
            <w:tcW w:w="885" w:type="dxa"/>
            <w:vMerge/>
          </w:tcPr>
          <w:p w14:paraId="3095635E"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vMerge/>
          </w:tcPr>
          <w:p w14:paraId="6E11CB90" w14:textId="77777777" w:rsidR="00A01447" w:rsidRPr="0054361E" w:rsidRDefault="00A01447" w:rsidP="00864059">
            <w:pP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992" w:type="dxa"/>
            <w:vMerge/>
          </w:tcPr>
          <w:p w14:paraId="3BBB38EA"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vMerge/>
          </w:tcPr>
          <w:p w14:paraId="18834E8A"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p>
        </w:tc>
        <w:tc>
          <w:tcPr>
            <w:tcW w:w="1134" w:type="dxa"/>
          </w:tcPr>
          <w:p w14:paraId="0068BC55" w14:textId="77777777" w:rsidR="00A01447" w:rsidRPr="0054361E" w:rsidRDefault="002B5A5D"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Pr>
                <w:rFonts w:eastAsia="Wingdings" w:cs="Arial"/>
                <w:sz w:val="18"/>
                <w:szCs w:val="18"/>
                <w:lang w:val="en-US"/>
              </w:rPr>
              <w:t>n/a</w:t>
            </w:r>
          </w:p>
        </w:tc>
        <w:tc>
          <w:tcPr>
            <w:tcW w:w="1134" w:type="dxa"/>
          </w:tcPr>
          <w:p w14:paraId="4D0DC532"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950</w:t>
            </w:r>
          </w:p>
        </w:tc>
        <w:tc>
          <w:tcPr>
            <w:tcW w:w="964" w:type="dxa"/>
          </w:tcPr>
          <w:p w14:paraId="2452F179" w14:textId="77777777" w:rsidR="00A01447" w:rsidRPr="0054361E" w:rsidRDefault="00A01447" w:rsidP="00864059">
            <w:pPr>
              <w:jc w:val="center"/>
              <w:cnfStyle w:val="000000000000" w:firstRow="0" w:lastRow="0" w:firstColumn="0" w:lastColumn="0" w:oddVBand="0" w:evenVBand="0" w:oddHBand="0" w:evenHBand="0" w:firstRowFirstColumn="0" w:firstRowLastColumn="0" w:lastRowFirstColumn="0" w:lastRowLastColumn="0"/>
              <w:rPr>
                <w:rFonts w:cs="Arial"/>
                <w:sz w:val="18"/>
                <w:szCs w:val="18"/>
                <w:lang w:val="en-US"/>
              </w:rPr>
            </w:pPr>
            <w:r w:rsidRPr="0054361E">
              <w:rPr>
                <w:rFonts w:cs="Arial"/>
                <w:sz w:val="18"/>
                <w:szCs w:val="18"/>
                <w:lang w:val="en-US"/>
              </w:rPr>
              <w:t>6450</w:t>
            </w:r>
          </w:p>
        </w:tc>
      </w:tr>
    </w:tbl>
    <w:p w14:paraId="1CEEE07A" w14:textId="77777777" w:rsidR="00470073" w:rsidRPr="0038755D" w:rsidRDefault="00470073" w:rsidP="00470073">
      <w:pPr>
        <w:shd w:val="clear" w:color="auto" w:fill="FFFFFF"/>
        <w:rPr>
          <w:sz w:val="18"/>
          <w:szCs w:val="18"/>
          <w:lang w:val="en-US"/>
        </w:rPr>
      </w:pPr>
      <w:r w:rsidRPr="0038755D">
        <w:rPr>
          <w:sz w:val="18"/>
          <w:szCs w:val="18"/>
          <w:lang w:val="en-US"/>
        </w:rPr>
        <w:t>n/a – not applicable</w:t>
      </w:r>
      <w:r>
        <w:rPr>
          <w:sz w:val="18"/>
          <w:szCs w:val="18"/>
          <w:lang w:val="en-US"/>
        </w:rPr>
        <w:t>, p.md – person month, md - month</w:t>
      </w:r>
    </w:p>
    <w:p w14:paraId="1326628B" w14:textId="77777777" w:rsidR="00470073" w:rsidRDefault="00470073" w:rsidP="005E0DB3">
      <w:pPr>
        <w:shd w:val="clear" w:color="auto" w:fill="FFFFFF"/>
        <w:rPr>
          <w:sz w:val="16"/>
          <w:szCs w:val="16"/>
          <w:lang w:val="en-US"/>
        </w:rPr>
      </w:pPr>
    </w:p>
    <w:p w14:paraId="429F2724" w14:textId="77777777" w:rsidR="005E0DB3" w:rsidRPr="0023381E" w:rsidRDefault="005E0DB3" w:rsidP="004B6CE3">
      <w:pPr>
        <w:pStyle w:val="Heading3"/>
      </w:pPr>
      <w:r>
        <w:t xml:space="preserve"> </w:t>
      </w:r>
      <w:bookmarkStart w:id="18" w:name="_Toc166073780"/>
      <w:r>
        <w:t>Influencing factors</w:t>
      </w:r>
      <w:bookmarkEnd w:id="18"/>
      <w:r>
        <w:t xml:space="preserve"> </w:t>
      </w:r>
    </w:p>
    <w:p w14:paraId="6EAD7634" w14:textId="77777777" w:rsidR="00982773" w:rsidRPr="00982773" w:rsidRDefault="00982773" w:rsidP="01FF54DE">
      <w:pPr>
        <w:shd w:val="clear" w:color="auto" w:fill="FFFFFF" w:themeFill="background1"/>
        <w:jc w:val="both"/>
        <w:rPr>
          <w:lang w:val="en-US"/>
        </w:rPr>
      </w:pPr>
      <w:r w:rsidRPr="00982773">
        <w:rPr>
          <w:lang w:val="en-US"/>
        </w:rPr>
        <w:t xml:space="preserve">Task 6.1 identified </w:t>
      </w:r>
      <w:r w:rsidR="15C25BEC" w:rsidRPr="01FF54DE">
        <w:rPr>
          <w:lang w:val="en-US"/>
        </w:rPr>
        <w:t>several</w:t>
      </w:r>
      <w:r w:rsidRPr="00982773">
        <w:rPr>
          <w:lang w:val="en-US"/>
        </w:rPr>
        <w:t xml:space="preserve"> key factors driving the cost of certification</w:t>
      </w:r>
      <w:r w:rsidR="009B3970">
        <w:rPr>
          <w:lang w:val="en-US"/>
        </w:rPr>
        <w:t xml:space="preserve">; an overview of these factors is provided in </w:t>
      </w:r>
      <w:r w:rsidR="009B3970">
        <w:rPr>
          <w:lang w:val="en-US"/>
        </w:rPr>
        <w:fldChar w:fldCharType="begin"/>
      </w:r>
      <w:r w:rsidR="009B3970">
        <w:rPr>
          <w:lang w:val="en-US"/>
        </w:rPr>
        <w:instrText xml:space="preserve"> REF _Ref165302309 \h </w:instrText>
      </w:r>
      <w:r w:rsidR="009B3970">
        <w:rPr>
          <w:lang w:val="en-US"/>
        </w:rPr>
      </w:r>
      <w:r w:rsidR="009B3970">
        <w:rPr>
          <w:lang w:val="en-US"/>
        </w:rPr>
        <w:fldChar w:fldCharType="separate"/>
      </w:r>
      <w:r w:rsidR="005F7B06">
        <w:t xml:space="preserve">Table </w:t>
      </w:r>
      <w:r w:rsidR="005F7B06">
        <w:rPr>
          <w:noProof/>
        </w:rPr>
        <w:t>5</w:t>
      </w:r>
      <w:r w:rsidR="009B3970">
        <w:rPr>
          <w:lang w:val="en-US"/>
        </w:rPr>
        <w:fldChar w:fldCharType="end"/>
      </w:r>
      <w:r w:rsidRPr="00982773">
        <w:rPr>
          <w:lang w:val="en-US"/>
        </w:rPr>
        <w:t>. These are related to e.g</w:t>
      </w:r>
      <w:r w:rsidRPr="01FF54DE">
        <w:rPr>
          <w:lang w:val="en-US"/>
        </w:rPr>
        <w:t>.</w:t>
      </w:r>
      <w:r w:rsidR="3D5B654E" w:rsidRPr="01FF54DE">
        <w:rPr>
          <w:lang w:val="en-US"/>
        </w:rPr>
        <w:t>,</w:t>
      </w:r>
      <w:r w:rsidRPr="00982773">
        <w:rPr>
          <w:lang w:val="en-US"/>
        </w:rPr>
        <w:t xml:space="preserve"> onsite auditing, which requires travel. Although the ability to conduct online audits following the COVID-19 pandemic has been on the rise, certain audit activities still require physical presence, impacting overall audit costs.</w:t>
      </w:r>
    </w:p>
    <w:p w14:paraId="0F9C98D6" w14:textId="77777777" w:rsidR="00982773" w:rsidRPr="00982773" w:rsidRDefault="00982773" w:rsidP="00C339E7">
      <w:pPr>
        <w:shd w:val="clear" w:color="auto" w:fill="FFFFFF"/>
        <w:rPr>
          <w:lang w:val="en-US"/>
        </w:rPr>
      </w:pPr>
      <w:r w:rsidRPr="00982773">
        <w:rPr>
          <w:lang w:val="en-US"/>
        </w:rPr>
        <w:t>Another driver is the individual CSLs requirements for random sampling (e.g., farm audits, document checks, interviews)</w:t>
      </w:r>
      <w:r w:rsidR="00100721">
        <w:rPr>
          <w:lang w:val="en-US"/>
        </w:rPr>
        <w:t>, which</w:t>
      </w:r>
      <w:r w:rsidRPr="00982773">
        <w:rPr>
          <w:lang w:val="en-US"/>
        </w:rPr>
        <w:t xml:space="preserve"> lead to varying audit durations and costs. This is also related to the determination of risk levels by auditors or CSLs, which affects the overall workload. CSLs may have differing approaches to risk assessment, resulting in significant cost variations.</w:t>
      </w:r>
    </w:p>
    <w:p w14:paraId="05A00B9C" w14:textId="77777777" w:rsidR="00982773" w:rsidRPr="00982773" w:rsidRDefault="00982773" w:rsidP="00C339E7">
      <w:pPr>
        <w:shd w:val="clear" w:color="auto" w:fill="FFFFFF"/>
        <w:rPr>
          <w:lang w:val="en-US"/>
        </w:rPr>
      </w:pPr>
      <w:r w:rsidRPr="00982773">
        <w:rPr>
          <w:lang w:val="en-US"/>
        </w:rPr>
        <w:t xml:space="preserve">The location of CBs relative to the Certificate Holder (CH) influences cost calculations based on local wages and socio-economic conditions. CBs in countries with lower standards may offer lower costs and tariffs. </w:t>
      </w:r>
    </w:p>
    <w:p w14:paraId="67EA062F" w14:textId="77777777" w:rsidR="005E0DB3" w:rsidRDefault="00982773" w:rsidP="00C339E7">
      <w:pPr>
        <w:shd w:val="clear" w:color="auto" w:fill="FFFFFF"/>
        <w:rPr>
          <w:lang w:val="en-US"/>
        </w:rPr>
      </w:pPr>
      <w:r w:rsidRPr="00982773">
        <w:rPr>
          <w:lang w:val="en-US"/>
        </w:rPr>
        <w:t>Factors mitigating the cost of certification can be recognition of EU standards and cross-compliance between CSLs that reduces audit durations and costs. CSLs accepting equivalency with other schemes are mostly rare, but this carries the potential to reduce the need for additional audits.</w:t>
      </w:r>
    </w:p>
    <w:p w14:paraId="17FC20DA" w14:textId="77777777" w:rsidR="00737482" w:rsidRDefault="00737482" w:rsidP="00C339E7">
      <w:pPr>
        <w:shd w:val="clear" w:color="auto" w:fill="FFFFFF"/>
        <w:rPr>
          <w:lang w:val="en-US"/>
        </w:rPr>
      </w:pPr>
    </w:p>
    <w:p w14:paraId="3E8514A0" w14:textId="77777777" w:rsidR="005E0DB3" w:rsidRDefault="005E0DB3" w:rsidP="004C0571">
      <w:pPr>
        <w:pStyle w:val="Caption"/>
        <w:rPr>
          <w:szCs w:val="22"/>
          <w:lang w:val="en-US"/>
        </w:rPr>
      </w:pPr>
      <w:bookmarkStart w:id="19" w:name="_Ref165302309"/>
      <w:r>
        <w:t xml:space="preserve">Table </w:t>
      </w:r>
      <w:r>
        <w:fldChar w:fldCharType="begin"/>
      </w:r>
      <w:r>
        <w:instrText xml:space="preserve"> SEQ Table \* ARABIC </w:instrText>
      </w:r>
      <w:r>
        <w:fldChar w:fldCharType="separate"/>
      </w:r>
      <w:r w:rsidR="005F7B06">
        <w:rPr>
          <w:noProof/>
        </w:rPr>
        <w:t>5</w:t>
      </w:r>
      <w:r>
        <w:rPr>
          <w:noProof/>
        </w:rPr>
        <w:fldChar w:fldCharType="end"/>
      </w:r>
      <w:bookmarkEnd w:id="19"/>
      <w:r>
        <w:t xml:space="preserve">: </w:t>
      </w:r>
      <w:r w:rsidR="0086270D">
        <w:t xml:space="preserve">Key factors influencing the direct costs of certification, their relevance and </w:t>
      </w:r>
      <w:proofErr w:type="gramStart"/>
      <w:r w:rsidR="0086270D">
        <w:t>consequences</w:t>
      </w:r>
      <w:proofErr w:type="gramEnd"/>
    </w:p>
    <w:tbl>
      <w:tblPr>
        <w:tblStyle w:val="GridTable1Light"/>
        <w:tblW w:w="9243" w:type="dxa"/>
        <w:tblLook w:val="04A0" w:firstRow="1" w:lastRow="0" w:firstColumn="1" w:lastColumn="0" w:noHBand="0" w:noVBand="1"/>
      </w:tblPr>
      <w:tblGrid>
        <w:gridCol w:w="1730"/>
        <w:gridCol w:w="3766"/>
        <w:gridCol w:w="3747"/>
      </w:tblGrid>
      <w:tr w:rsidR="005E0DB3" w:rsidRPr="00396FB3" w14:paraId="0EF5EC3D" w14:textId="77777777" w:rsidTr="00C43112">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1730" w:type="dxa"/>
          </w:tcPr>
          <w:p w14:paraId="12751844" w14:textId="77777777" w:rsidR="005E0DB3" w:rsidRPr="00396FB3" w:rsidRDefault="00294385" w:rsidP="00864059">
            <w:pPr>
              <w:rPr>
                <w:rFonts w:cs="Open Sans"/>
                <w:sz w:val="20"/>
                <w:szCs w:val="20"/>
              </w:rPr>
            </w:pPr>
            <w:bookmarkStart w:id="20" w:name="_Hlk164528009"/>
            <w:r w:rsidRPr="00396FB3">
              <w:rPr>
                <w:rFonts w:cs="Open Sans"/>
                <w:sz w:val="20"/>
                <w:szCs w:val="20"/>
              </w:rPr>
              <w:t xml:space="preserve"> Factor</w:t>
            </w:r>
          </w:p>
        </w:tc>
        <w:tc>
          <w:tcPr>
            <w:tcW w:w="3766" w:type="dxa"/>
          </w:tcPr>
          <w:p w14:paraId="3130AFE3" w14:textId="77777777" w:rsidR="005E0DB3" w:rsidRPr="00396FB3" w:rsidRDefault="00294385" w:rsidP="00864059">
            <w:pPr>
              <w:cnfStyle w:val="100000000000" w:firstRow="1" w:lastRow="0" w:firstColumn="0" w:lastColumn="0" w:oddVBand="0" w:evenVBand="0" w:oddHBand="0" w:evenHBand="0" w:firstRowFirstColumn="0" w:firstRowLastColumn="0" w:lastRowFirstColumn="0" w:lastRowLastColumn="0"/>
              <w:rPr>
                <w:rFonts w:cs="Open Sans"/>
                <w:sz w:val="20"/>
                <w:szCs w:val="20"/>
              </w:rPr>
            </w:pPr>
            <w:r w:rsidRPr="00396FB3">
              <w:rPr>
                <w:rFonts w:cs="Open Sans"/>
                <w:sz w:val="20"/>
                <w:szCs w:val="20"/>
              </w:rPr>
              <w:t>Relevance</w:t>
            </w:r>
          </w:p>
        </w:tc>
        <w:tc>
          <w:tcPr>
            <w:tcW w:w="3747" w:type="dxa"/>
          </w:tcPr>
          <w:p w14:paraId="33D8605F" w14:textId="77777777" w:rsidR="005E0DB3" w:rsidRPr="00396FB3" w:rsidRDefault="00294385" w:rsidP="00396FB3">
            <w:pPr>
              <w:cnfStyle w:val="100000000000" w:firstRow="1" w:lastRow="0" w:firstColumn="0" w:lastColumn="0" w:oddVBand="0" w:evenVBand="0" w:oddHBand="0" w:evenHBand="0" w:firstRowFirstColumn="0" w:firstRowLastColumn="0" w:lastRowFirstColumn="0" w:lastRowLastColumn="0"/>
              <w:rPr>
                <w:rFonts w:cs="Open Sans"/>
                <w:sz w:val="20"/>
                <w:szCs w:val="20"/>
              </w:rPr>
            </w:pPr>
            <w:r w:rsidRPr="00396FB3">
              <w:rPr>
                <w:rFonts w:cs="Open Sans"/>
                <w:sz w:val="20"/>
                <w:szCs w:val="20"/>
              </w:rPr>
              <w:t>Consequences</w:t>
            </w:r>
          </w:p>
        </w:tc>
      </w:tr>
      <w:tr w:rsidR="005E0DB3" w:rsidRPr="00C049B0" w14:paraId="36AF115C" w14:textId="77777777" w:rsidTr="00C43112">
        <w:tc>
          <w:tcPr>
            <w:cnfStyle w:val="001000000000" w:firstRow="0" w:lastRow="0" w:firstColumn="1" w:lastColumn="0" w:oddVBand="0" w:evenVBand="0" w:oddHBand="0" w:evenHBand="0" w:firstRowFirstColumn="0" w:firstRowLastColumn="0" w:lastRowFirstColumn="0" w:lastRowLastColumn="0"/>
            <w:tcW w:w="1730" w:type="dxa"/>
          </w:tcPr>
          <w:p w14:paraId="0B749DD4" w14:textId="77777777" w:rsidR="005E0DB3" w:rsidRPr="00C43112" w:rsidRDefault="005E0DB3" w:rsidP="00864059">
            <w:pPr>
              <w:rPr>
                <w:b w:val="0"/>
                <w:bCs w:val="0"/>
                <w:sz w:val="20"/>
                <w:szCs w:val="20"/>
                <w:lang w:val="en-US"/>
              </w:rPr>
            </w:pPr>
            <w:r w:rsidRPr="00C43112">
              <w:rPr>
                <w:b w:val="0"/>
                <w:bCs w:val="0"/>
                <w:sz w:val="20"/>
                <w:szCs w:val="20"/>
                <w:lang w:val="en-US"/>
              </w:rPr>
              <w:t>Onsite / Online</w:t>
            </w:r>
          </w:p>
        </w:tc>
        <w:tc>
          <w:tcPr>
            <w:tcW w:w="3766" w:type="dxa"/>
          </w:tcPr>
          <w:p w14:paraId="13D7944D"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Following the COVID-19 Pandemic, online audits could be conducted, and this helped to certify clients in an extremely </w:t>
            </w:r>
            <w:r w:rsidRPr="00B7086C">
              <w:rPr>
                <w:sz w:val="20"/>
                <w:szCs w:val="20"/>
                <w:lang w:val="en-US"/>
              </w:rPr>
              <w:t>exceptional</w:t>
            </w:r>
            <w:r>
              <w:rPr>
                <w:sz w:val="20"/>
                <w:szCs w:val="20"/>
                <w:lang w:val="en-US"/>
              </w:rPr>
              <w:t xml:space="preserve"> situation; with improved technical solutions, it still might be used in regular Audits (determined by CSL)</w:t>
            </w:r>
          </w:p>
        </w:tc>
        <w:tc>
          <w:tcPr>
            <w:tcW w:w="3747" w:type="dxa"/>
          </w:tcPr>
          <w:p w14:paraId="50610FFC"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lang w:val="en-US"/>
              </w:rPr>
            </w:pPr>
            <w:r w:rsidRPr="00B7086C">
              <w:rPr>
                <w:rFonts w:ascii="Wingdings" w:eastAsia="Wingdings" w:hAnsi="Wingdings" w:cs="Wingdings"/>
                <w:sz w:val="20"/>
                <w:szCs w:val="20"/>
                <w:lang w:val="en-US"/>
              </w:rPr>
              <w:t>à</w:t>
            </w:r>
            <w:r>
              <w:rPr>
                <w:sz w:val="20"/>
                <w:szCs w:val="20"/>
                <w:lang w:val="en-US"/>
              </w:rPr>
              <w:t xml:space="preserve">Online audits lead to lower, zero travel expenses etc. although it may limit the auditor’s options when it comes to site review and other activities that can only be achieved by being on location. </w:t>
            </w:r>
          </w:p>
        </w:tc>
      </w:tr>
      <w:bookmarkEnd w:id="20"/>
      <w:tr w:rsidR="005E0DB3" w:rsidRPr="00C049B0" w14:paraId="10E93410" w14:textId="77777777" w:rsidTr="00C43112">
        <w:tc>
          <w:tcPr>
            <w:cnfStyle w:val="001000000000" w:firstRow="0" w:lastRow="0" w:firstColumn="1" w:lastColumn="0" w:oddVBand="0" w:evenVBand="0" w:oddHBand="0" w:evenHBand="0" w:firstRowFirstColumn="0" w:firstRowLastColumn="0" w:lastRowFirstColumn="0" w:lastRowLastColumn="0"/>
            <w:tcW w:w="1730" w:type="dxa"/>
          </w:tcPr>
          <w:p w14:paraId="7539D5F4" w14:textId="77777777" w:rsidR="005E0DB3" w:rsidRPr="00C43112" w:rsidRDefault="005E0DB3" w:rsidP="00864059">
            <w:pPr>
              <w:rPr>
                <w:b w:val="0"/>
                <w:bCs w:val="0"/>
                <w:sz w:val="20"/>
                <w:szCs w:val="20"/>
                <w:lang w:val="en-US"/>
              </w:rPr>
            </w:pPr>
            <w:r w:rsidRPr="00C43112">
              <w:rPr>
                <w:b w:val="0"/>
                <w:bCs w:val="0"/>
                <w:sz w:val="20"/>
                <w:szCs w:val="20"/>
                <w:lang w:val="en-US"/>
              </w:rPr>
              <w:t>Random Sample Definition &amp; Selection</w:t>
            </w:r>
          </w:p>
        </w:tc>
        <w:tc>
          <w:tcPr>
            <w:tcW w:w="3766" w:type="dxa"/>
          </w:tcPr>
          <w:p w14:paraId="46D1E22F"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Depending on CSL requirements </w:t>
            </w:r>
            <w:r w:rsidRPr="001862A0">
              <w:rPr>
                <w:rFonts w:ascii="Wingdings" w:eastAsia="Wingdings" w:hAnsi="Wingdings" w:cs="Wingdings"/>
                <w:sz w:val="20"/>
                <w:szCs w:val="20"/>
                <w:lang w:val="en-US"/>
              </w:rPr>
              <w:t>à</w:t>
            </w:r>
            <w:r>
              <w:rPr>
                <w:sz w:val="20"/>
                <w:szCs w:val="20"/>
                <w:lang w:val="en-US"/>
              </w:rPr>
              <w:t xml:space="preserve"> influencing especially Audit man days </w:t>
            </w:r>
            <w:r w:rsidRPr="01FF54DE">
              <w:rPr>
                <w:sz w:val="20"/>
                <w:szCs w:val="20"/>
                <w:lang w:val="en-US"/>
              </w:rPr>
              <w:t>(e.g.</w:t>
            </w:r>
            <w:r w:rsidR="36FCB243" w:rsidRPr="01FF54DE">
              <w:rPr>
                <w:sz w:val="20"/>
                <w:szCs w:val="20"/>
                <w:lang w:val="en-US"/>
              </w:rPr>
              <w:t>,</w:t>
            </w:r>
            <w:r>
              <w:rPr>
                <w:sz w:val="20"/>
                <w:szCs w:val="20"/>
                <w:lang w:val="en-US"/>
              </w:rPr>
              <w:t xml:space="preserve"> a random sample of farm audits, document checks, interviews, etc.)                                                         </w:t>
            </w:r>
          </w:p>
        </w:tc>
        <w:tc>
          <w:tcPr>
            <w:tcW w:w="3747" w:type="dxa"/>
          </w:tcPr>
          <w:p w14:paraId="7CDEF851"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lang w:val="en-US"/>
              </w:rPr>
            </w:pPr>
            <w:r>
              <w:rPr>
                <w:sz w:val="20"/>
                <w:szCs w:val="20"/>
                <w:lang w:val="en-US"/>
              </w:rPr>
              <w:t xml:space="preserve">different CSL approaches </w:t>
            </w:r>
            <w:r w:rsidRPr="001862A0">
              <w:rPr>
                <w:rFonts w:ascii="Wingdings" w:eastAsia="Wingdings" w:hAnsi="Wingdings" w:cs="Wingdings"/>
                <w:sz w:val="20"/>
                <w:szCs w:val="20"/>
                <w:lang w:val="en-US"/>
              </w:rPr>
              <w:t>à</w:t>
            </w:r>
            <w:r>
              <w:rPr>
                <w:sz w:val="20"/>
                <w:szCs w:val="20"/>
                <w:lang w:val="en-US"/>
              </w:rPr>
              <w:t xml:space="preserve"> significantly varying costs </w:t>
            </w:r>
          </w:p>
        </w:tc>
      </w:tr>
      <w:tr w:rsidR="005E0DB3" w:rsidRPr="00C049B0" w14:paraId="0B7F6C5B" w14:textId="77777777" w:rsidTr="00C43112">
        <w:tc>
          <w:tcPr>
            <w:cnfStyle w:val="001000000000" w:firstRow="0" w:lastRow="0" w:firstColumn="1" w:lastColumn="0" w:oddVBand="0" w:evenVBand="0" w:oddHBand="0" w:evenHBand="0" w:firstRowFirstColumn="0" w:firstRowLastColumn="0" w:lastRowFirstColumn="0" w:lastRowLastColumn="0"/>
            <w:tcW w:w="1730" w:type="dxa"/>
          </w:tcPr>
          <w:p w14:paraId="5D7F0E5F" w14:textId="77777777" w:rsidR="005E0DB3" w:rsidRPr="00C43112" w:rsidRDefault="005E0DB3" w:rsidP="00864059">
            <w:pPr>
              <w:rPr>
                <w:b w:val="0"/>
                <w:bCs w:val="0"/>
                <w:sz w:val="20"/>
                <w:szCs w:val="20"/>
                <w:lang w:val="en-US"/>
              </w:rPr>
            </w:pPr>
            <w:r w:rsidRPr="00C43112">
              <w:rPr>
                <w:b w:val="0"/>
                <w:bCs w:val="0"/>
                <w:sz w:val="20"/>
                <w:szCs w:val="20"/>
                <w:lang w:val="en-US"/>
              </w:rPr>
              <w:t xml:space="preserve">Risk Level Application </w:t>
            </w:r>
          </w:p>
        </w:tc>
        <w:tc>
          <w:tcPr>
            <w:tcW w:w="3766" w:type="dxa"/>
          </w:tcPr>
          <w:p w14:paraId="6E573411"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Determination of Risk Level either done by the auditor or set by CSL </w:t>
            </w:r>
            <w:r w:rsidRPr="001757A1">
              <w:rPr>
                <w:rFonts w:ascii="Wingdings" w:eastAsia="Wingdings" w:hAnsi="Wingdings" w:cs="Wingdings"/>
                <w:sz w:val="20"/>
                <w:szCs w:val="20"/>
                <w:lang w:val="en-US"/>
              </w:rPr>
              <w:t>à</w:t>
            </w:r>
            <w:r>
              <w:rPr>
                <w:sz w:val="20"/>
                <w:szCs w:val="20"/>
                <w:lang w:val="en-US"/>
              </w:rPr>
              <w:t xml:space="preserve"> again does influence especially Audit person-days </w:t>
            </w:r>
          </w:p>
        </w:tc>
        <w:tc>
          <w:tcPr>
            <w:tcW w:w="3747" w:type="dxa"/>
          </w:tcPr>
          <w:p w14:paraId="22755D0C"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lang w:val="en-US"/>
              </w:rPr>
            </w:pPr>
            <w:r>
              <w:rPr>
                <w:sz w:val="20"/>
                <w:szCs w:val="20"/>
                <w:lang w:val="en-US"/>
              </w:rPr>
              <w:t>Auditor overall approaches may be seen as quite similar; however, there are different CSL approaches (again, significantly varying costs).</w:t>
            </w:r>
          </w:p>
        </w:tc>
      </w:tr>
      <w:tr w:rsidR="005E0DB3" w:rsidRPr="00C049B0" w14:paraId="151BA451" w14:textId="77777777" w:rsidTr="00C43112">
        <w:tc>
          <w:tcPr>
            <w:cnfStyle w:val="001000000000" w:firstRow="0" w:lastRow="0" w:firstColumn="1" w:lastColumn="0" w:oddVBand="0" w:evenVBand="0" w:oddHBand="0" w:evenHBand="0" w:firstRowFirstColumn="0" w:firstRowLastColumn="0" w:lastRowFirstColumn="0" w:lastRowLastColumn="0"/>
            <w:tcW w:w="1730" w:type="dxa"/>
          </w:tcPr>
          <w:p w14:paraId="326C8E1D" w14:textId="77777777" w:rsidR="005E0DB3" w:rsidRPr="00C43112" w:rsidRDefault="005E0DB3" w:rsidP="00864059">
            <w:pPr>
              <w:rPr>
                <w:b w:val="0"/>
                <w:bCs w:val="0"/>
                <w:sz w:val="20"/>
                <w:szCs w:val="20"/>
                <w:lang w:val="en-US"/>
              </w:rPr>
            </w:pPr>
            <w:r w:rsidRPr="00C43112">
              <w:rPr>
                <w:b w:val="0"/>
                <w:bCs w:val="0"/>
                <w:sz w:val="20"/>
                <w:szCs w:val="20"/>
                <w:lang w:val="en-US"/>
              </w:rPr>
              <w:t>Socio-Economic Standard of a Country &amp; Registration/ Operational Address of a CB/VB</w:t>
            </w:r>
          </w:p>
        </w:tc>
        <w:tc>
          <w:tcPr>
            <w:tcW w:w="3766" w:type="dxa"/>
          </w:tcPr>
          <w:p w14:paraId="0994CB13"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The location of a CB/VB is relevant for generating offers (considering average, local wages) </w:t>
            </w:r>
          </w:p>
        </w:tc>
        <w:tc>
          <w:tcPr>
            <w:tcW w:w="3747" w:type="dxa"/>
          </w:tcPr>
          <w:p w14:paraId="2C3F57E5" w14:textId="77777777" w:rsidR="005E0DB3" w:rsidRPr="001757A1"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sidRPr="001757A1">
              <w:rPr>
                <w:rFonts w:ascii="Wingdings" w:eastAsia="Wingdings" w:hAnsi="Wingdings" w:cs="Wingdings"/>
                <w:lang w:val="en-US"/>
              </w:rPr>
              <w:t>à</w:t>
            </w:r>
            <w:r>
              <w:rPr>
                <w:lang w:val="en-US"/>
              </w:rPr>
              <w:t xml:space="preserve"> </w:t>
            </w:r>
            <w:proofErr w:type="gramStart"/>
            <w:r w:rsidRPr="001757A1">
              <w:rPr>
                <w:sz w:val="20"/>
                <w:szCs w:val="20"/>
                <w:lang w:val="en-US"/>
              </w:rPr>
              <w:t>CB’s</w:t>
            </w:r>
            <w:proofErr w:type="gramEnd"/>
            <w:r>
              <w:rPr>
                <w:sz w:val="20"/>
                <w:szCs w:val="20"/>
                <w:lang w:val="en-US"/>
              </w:rPr>
              <w:t xml:space="preserve"> located (and accredited) in countries with a lower socio-economic standard (e.g</w:t>
            </w:r>
            <w:r w:rsidR="5075A698" w:rsidRPr="01FF54DE">
              <w:rPr>
                <w:sz w:val="20"/>
                <w:szCs w:val="20"/>
                <w:lang w:val="en-US"/>
              </w:rPr>
              <w:t>.,</w:t>
            </w:r>
            <w:r>
              <w:rPr>
                <w:sz w:val="20"/>
                <w:szCs w:val="20"/>
                <w:lang w:val="en-US"/>
              </w:rPr>
              <w:t xml:space="preserve"> SEA, SA, Africa) do have lower costs per man day compared to a CB located in e.g</w:t>
            </w:r>
            <w:r w:rsidR="3F554920" w:rsidRPr="01FF54DE">
              <w:rPr>
                <w:sz w:val="20"/>
                <w:szCs w:val="20"/>
                <w:lang w:val="en-US"/>
              </w:rPr>
              <w:t>.,</w:t>
            </w:r>
            <w:r>
              <w:rPr>
                <w:sz w:val="20"/>
                <w:szCs w:val="20"/>
                <w:lang w:val="en-US"/>
              </w:rPr>
              <w:t xml:space="preserve"> EU or Northern America, etc.; </w:t>
            </w:r>
            <w:r w:rsidRPr="001757A1">
              <w:rPr>
                <w:rFonts w:ascii="Wingdings" w:eastAsia="Wingdings" w:hAnsi="Wingdings" w:cs="Wingdings"/>
                <w:sz w:val="20"/>
                <w:szCs w:val="20"/>
                <w:lang w:val="en-US"/>
              </w:rPr>
              <w:t>à</w:t>
            </w:r>
            <w:r>
              <w:rPr>
                <w:sz w:val="20"/>
                <w:szCs w:val="20"/>
                <w:lang w:val="en-US"/>
              </w:rPr>
              <w:t xml:space="preserve"> hence, they may also offer lower tariffs compared to above-mentioned locations in EU, etc.  </w:t>
            </w:r>
          </w:p>
        </w:tc>
      </w:tr>
      <w:tr w:rsidR="005E0DB3" w:rsidRPr="00C049B0" w14:paraId="66F39F54" w14:textId="77777777" w:rsidTr="00C43112">
        <w:tc>
          <w:tcPr>
            <w:cnfStyle w:val="001000000000" w:firstRow="0" w:lastRow="0" w:firstColumn="1" w:lastColumn="0" w:oddVBand="0" w:evenVBand="0" w:oddHBand="0" w:evenHBand="0" w:firstRowFirstColumn="0" w:firstRowLastColumn="0" w:lastRowFirstColumn="0" w:lastRowLastColumn="0"/>
            <w:tcW w:w="1730" w:type="dxa"/>
          </w:tcPr>
          <w:p w14:paraId="607B6CC6" w14:textId="77777777" w:rsidR="005E0DB3" w:rsidRPr="00C43112" w:rsidRDefault="005E0DB3" w:rsidP="00864059">
            <w:pPr>
              <w:rPr>
                <w:b w:val="0"/>
                <w:bCs w:val="0"/>
                <w:sz w:val="20"/>
                <w:szCs w:val="20"/>
                <w:lang w:val="en-US"/>
              </w:rPr>
            </w:pPr>
            <w:r w:rsidRPr="00C43112">
              <w:rPr>
                <w:b w:val="0"/>
                <w:bCs w:val="0"/>
                <w:sz w:val="20"/>
                <w:szCs w:val="20"/>
                <w:lang w:val="en-US"/>
              </w:rPr>
              <w:t xml:space="preserve">EU / </w:t>
            </w:r>
            <w:proofErr w:type="gramStart"/>
            <w:r w:rsidRPr="00C43112">
              <w:rPr>
                <w:b w:val="0"/>
                <w:bCs w:val="0"/>
                <w:sz w:val="20"/>
                <w:szCs w:val="20"/>
                <w:lang w:val="en-US"/>
              </w:rPr>
              <w:t>Non EU</w:t>
            </w:r>
            <w:proofErr w:type="gramEnd"/>
            <w:r w:rsidRPr="00C43112">
              <w:rPr>
                <w:b w:val="0"/>
                <w:bCs w:val="0"/>
                <w:sz w:val="20"/>
                <w:szCs w:val="20"/>
                <w:lang w:val="en-US"/>
              </w:rPr>
              <w:t xml:space="preserve"> </w:t>
            </w:r>
          </w:p>
        </w:tc>
        <w:tc>
          <w:tcPr>
            <w:tcW w:w="3766" w:type="dxa"/>
          </w:tcPr>
          <w:p w14:paraId="7A08CE5A"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Relevance, especially for recognition of social, economic- and agricultural standards – for agricultural suppliers </w:t>
            </w:r>
            <w:r w:rsidR="68FBEE3D" w:rsidRPr="01FF54DE">
              <w:rPr>
                <w:sz w:val="20"/>
                <w:szCs w:val="20"/>
                <w:lang w:val="en-US"/>
              </w:rPr>
              <w:t>a key</w:t>
            </w:r>
            <w:r>
              <w:rPr>
                <w:sz w:val="20"/>
                <w:szCs w:val="20"/>
                <w:lang w:val="en-US"/>
              </w:rPr>
              <w:t xml:space="preserve"> factor is the European Cross Compliance CC (Good Agricultural Practice on EU Level, basic requirements to claim EU subsidies)  </w:t>
            </w:r>
          </w:p>
        </w:tc>
        <w:tc>
          <w:tcPr>
            <w:tcW w:w="3747" w:type="dxa"/>
          </w:tcPr>
          <w:p w14:paraId="3EE15E83" w14:textId="77777777" w:rsidR="005E0DB3" w:rsidRPr="00FA5C8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sidRPr="00FA5C80">
              <w:rPr>
                <w:rFonts w:ascii="Wingdings" w:eastAsia="Wingdings" w:hAnsi="Wingdings" w:cs="Wingdings"/>
                <w:sz w:val="20"/>
                <w:szCs w:val="20"/>
                <w:lang w:val="en-US"/>
              </w:rPr>
              <w:t>à</w:t>
            </w:r>
            <w:r w:rsidRPr="00FA5C80">
              <w:rPr>
                <w:sz w:val="20"/>
                <w:szCs w:val="20"/>
                <w:lang w:val="en-US"/>
              </w:rPr>
              <w:t xml:space="preserve"> quite a view CSL </w:t>
            </w:r>
            <w:r>
              <w:rPr>
                <w:sz w:val="20"/>
                <w:szCs w:val="20"/>
                <w:lang w:val="en-US"/>
              </w:rPr>
              <w:t xml:space="preserve">do </w:t>
            </w:r>
            <w:proofErr w:type="spellStart"/>
            <w:r>
              <w:rPr>
                <w:sz w:val="20"/>
                <w:szCs w:val="20"/>
                <w:lang w:val="en-US"/>
              </w:rPr>
              <w:t>recognise</w:t>
            </w:r>
            <w:proofErr w:type="spellEnd"/>
            <w:r>
              <w:rPr>
                <w:sz w:val="20"/>
                <w:szCs w:val="20"/>
                <w:lang w:val="en-US"/>
              </w:rPr>
              <w:t xml:space="preserve"> active CC participation of farms, so that the Audit Requirements may already </w:t>
            </w:r>
            <w:proofErr w:type="spellStart"/>
            <w:r>
              <w:rPr>
                <w:sz w:val="20"/>
                <w:szCs w:val="20"/>
                <w:lang w:val="en-US"/>
              </w:rPr>
              <w:t>recognise</w:t>
            </w:r>
            <w:proofErr w:type="spellEnd"/>
            <w:r>
              <w:rPr>
                <w:sz w:val="20"/>
                <w:szCs w:val="20"/>
                <w:lang w:val="en-US"/>
              </w:rPr>
              <w:t xml:space="preserve"> some parts of the CC </w:t>
            </w:r>
            <w:r w:rsidRPr="00FA5C80">
              <w:rPr>
                <w:rFonts w:ascii="Wingdings" w:eastAsia="Wingdings" w:hAnsi="Wingdings" w:cs="Wingdings"/>
                <w:sz w:val="20"/>
                <w:szCs w:val="20"/>
                <w:lang w:val="en-US"/>
              </w:rPr>
              <w:t>à</w:t>
            </w:r>
            <w:r>
              <w:rPr>
                <w:sz w:val="20"/>
                <w:szCs w:val="20"/>
                <w:lang w:val="en-US"/>
              </w:rPr>
              <w:t xml:space="preserve"> reduced audit duration.</w:t>
            </w:r>
            <w:r w:rsidRPr="00FA5C80">
              <w:rPr>
                <w:sz w:val="20"/>
                <w:szCs w:val="20"/>
                <w:lang w:val="en-US"/>
              </w:rPr>
              <w:t xml:space="preserve">  </w:t>
            </w:r>
          </w:p>
        </w:tc>
      </w:tr>
      <w:tr w:rsidR="005E0DB3" w:rsidRPr="00C049B0" w14:paraId="2E56CD2C" w14:textId="77777777" w:rsidTr="00C43112">
        <w:tc>
          <w:tcPr>
            <w:cnfStyle w:val="001000000000" w:firstRow="0" w:lastRow="0" w:firstColumn="1" w:lastColumn="0" w:oddVBand="0" w:evenVBand="0" w:oddHBand="0" w:evenHBand="0" w:firstRowFirstColumn="0" w:firstRowLastColumn="0" w:lastRowFirstColumn="0" w:lastRowLastColumn="0"/>
            <w:tcW w:w="1730" w:type="dxa"/>
          </w:tcPr>
          <w:p w14:paraId="2B344E41" w14:textId="77777777" w:rsidR="005E0DB3" w:rsidRPr="00C43112" w:rsidRDefault="005E0DB3" w:rsidP="00864059">
            <w:pPr>
              <w:rPr>
                <w:b w:val="0"/>
                <w:bCs w:val="0"/>
                <w:sz w:val="20"/>
                <w:szCs w:val="20"/>
                <w:lang w:val="en-US"/>
              </w:rPr>
            </w:pPr>
            <w:r w:rsidRPr="00C43112">
              <w:rPr>
                <w:b w:val="0"/>
                <w:bCs w:val="0"/>
                <w:sz w:val="20"/>
                <w:szCs w:val="20"/>
                <w:lang w:val="en-US"/>
              </w:rPr>
              <w:t>Potential Benchmarking &amp; Recognitions</w:t>
            </w:r>
          </w:p>
        </w:tc>
        <w:tc>
          <w:tcPr>
            <w:tcW w:w="3766" w:type="dxa"/>
          </w:tcPr>
          <w:p w14:paraId="10AAED4E"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If the CSL already have some kind of Benchmarking System, it will be part of the System Documents </w:t>
            </w:r>
            <w:r w:rsidRPr="00FA5C80">
              <w:rPr>
                <w:rFonts w:ascii="Wingdings" w:eastAsia="Wingdings" w:hAnsi="Wingdings" w:cs="Wingdings"/>
                <w:sz w:val="20"/>
                <w:szCs w:val="20"/>
                <w:lang w:val="en-US"/>
              </w:rPr>
              <w:t>à</w:t>
            </w:r>
            <w:r>
              <w:rPr>
                <w:sz w:val="20"/>
                <w:szCs w:val="20"/>
                <w:lang w:val="en-US"/>
              </w:rPr>
              <w:t xml:space="preserve"> does determine whether other CSLs with similar requirements may be seen as equivalent.</w:t>
            </w:r>
          </w:p>
        </w:tc>
        <w:tc>
          <w:tcPr>
            <w:tcW w:w="3747" w:type="dxa"/>
          </w:tcPr>
          <w:p w14:paraId="085E8D13" w14:textId="77777777" w:rsidR="005E0DB3" w:rsidRPr="00FA5C8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sidRPr="00FA5C80">
              <w:rPr>
                <w:rFonts w:ascii="Wingdings" w:eastAsia="Wingdings" w:hAnsi="Wingdings" w:cs="Wingdings"/>
                <w:sz w:val="20"/>
                <w:szCs w:val="20"/>
                <w:lang w:val="en-US"/>
              </w:rPr>
              <w:t>à</w:t>
            </w:r>
            <w:r w:rsidRPr="00FA5C80">
              <w:rPr>
                <w:sz w:val="20"/>
                <w:szCs w:val="20"/>
                <w:lang w:val="en-US"/>
              </w:rPr>
              <w:t xml:space="preserve"> </w:t>
            </w:r>
            <w:r>
              <w:rPr>
                <w:sz w:val="20"/>
                <w:szCs w:val="20"/>
                <w:lang w:val="en-US"/>
              </w:rPr>
              <w:t xml:space="preserve">a System User may e.g. make use of a local CSL (and has that one already implemented); that System User does not need an additional Audit &amp; Certificate if the benchmarking process is completed and if the local CSL is </w:t>
            </w:r>
            <w:proofErr w:type="spellStart"/>
            <w:r>
              <w:rPr>
                <w:sz w:val="20"/>
                <w:szCs w:val="20"/>
                <w:lang w:val="en-US"/>
              </w:rPr>
              <w:t>recognised</w:t>
            </w:r>
            <w:proofErr w:type="spellEnd"/>
            <w:r>
              <w:rPr>
                <w:sz w:val="20"/>
                <w:szCs w:val="20"/>
                <w:lang w:val="en-US"/>
              </w:rPr>
              <w:t xml:space="preserve"> by e.g. an international CSL.   </w:t>
            </w:r>
          </w:p>
        </w:tc>
      </w:tr>
      <w:tr w:rsidR="005E0DB3" w:rsidRPr="00C049B0" w14:paraId="048CF845" w14:textId="77777777" w:rsidTr="00C43112">
        <w:tc>
          <w:tcPr>
            <w:cnfStyle w:val="001000000000" w:firstRow="0" w:lastRow="0" w:firstColumn="1" w:lastColumn="0" w:oddVBand="0" w:evenVBand="0" w:oddHBand="0" w:evenHBand="0" w:firstRowFirstColumn="0" w:firstRowLastColumn="0" w:lastRowFirstColumn="0" w:lastRowLastColumn="0"/>
            <w:tcW w:w="1730" w:type="dxa"/>
          </w:tcPr>
          <w:p w14:paraId="5309DE76" w14:textId="77777777" w:rsidR="005E0DB3" w:rsidRPr="00C43112" w:rsidRDefault="005E0DB3" w:rsidP="00864059">
            <w:pPr>
              <w:rPr>
                <w:b w:val="0"/>
                <w:bCs w:val="0"/>
                <w:sz w:val="20"/>
                <w:szCs w:val="20"/>
                <w:lang w:val="en-US"/>
              </w:rPr>
            </w:pPr>
            <w:r w:rsidRPr="00C43112">
              <w:rPr>
                <w:b w:val="0"/>
                <w:bCs w:val="0"/>
                <w:sz w:val="20"/>
                <w:szCs w:val="20"/>
                <w:lang w:val="en-US"/>
              </w:rPr>
              <w:t>Points of Origin (Waste &amp; Residues) and Audit timing</w:t>
            </w:r>
          </w:p>
        </w:tc>
        <w:tc>
          <w:tcPr>
            <w:tcW w:w="3766" w:type="dxa"/>
          </w:tcPr>
          <w:p w14:paraId="3CA827AA" w14:textId="77777777" w:rsidR="005E0DB3" w:rsidRPr="00B56E8D"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Different kinds of Points of Origin also need different times to audit (e.g.,</w:t>
            </w:r>
            <w:r w:rsidRPr="00B56E8D">
              <w:rPr>
                <w:sz w:val="20"/>
                <w:szCs w:val="20"/>
                <w:lang w:val="en-US"/>
              </w:rPr>
              <w:t xml:space="preserve"> Restaurants, Processing Plant – Food/Feed Industry, Municipal Collecting Points, Public Containers, Palm Oil Mills, Rendering Plants, etc.) </w:t>
            </w:r>
          </w:p>
        </w:tc>
        <w:tc>
          <w:tcPr>
            <w:tcW w:w="3747" w:type="dxa"/>
          </w:tcPr>
          <w:p w14:paraId="1A067396" w14:textId="77777777" w:rsidR="005E0DB3" w:rsidRPr="00B56E8D" w:rsidRDefault="005E0DB3" w:rsidP="00864059">
            <w:pPr>
              <w:cnfStyle w:val="000000000000" w:firstRow="0" w:lastRow="0" w:firstColumn="0" w:lastColumn="0" w:oddVBand="0" w:evenVBand="0" w:oddHBand="0" w:evenHBand="0" w:firstRowFirstColumn="0" w:firstRowLastColumn="0" w:lastRowFirstColumn="0" w:lastRowLastColumn="0"/>
              <w:rPr>
                <w:lang w:val="en-US"/>
              </w:rPr>
            </w:pPr>
            <w:r w:rsidRPr="00B56E8D">
              <w:rPr>
                <w:rFonts w:ascii="Wingdings" w:eastAsia="Wingdings" w:hAnsi="Wingdings" w:cs="Wingdings"/>
                <w:sz w:val="20"/>
                <w:szCs w:val="20"/>
                <w:lang w:val="en-US"/>
              </w:rPr>
              <w:t>à</w:t>
            </w:r>
            <w:r w:rsidRPr="00B56E8D">
              <w:rPr>
                <w:sz w:val="20"/>
                <w:szCs w:val="20"/>
                <w:lang w:val="en-US"/>
              </w:rPr>
              <w:t xml:space="preserve"> </w:t>
            </w:r>
            <w:r>
              <w:rPr>
                <w:sz w:val="20"/>
                <w:szCs w:val="20"/>
                <w:lang w:val="en-US"/>
              </w:rPr>
              <w:t xml:space="preserve">A </w:t>
            </w:r>
            <w:r w:rsidRPr="00B56E8D">
              <w:rPr>
                <w:sz w:val="20"/>
                <w:szCs w:val="20"/>
                <w:lang w:val="en-US"/>
              </w:rPr>
              <w:t xml:space="preserve">specific </w:t>
            </w:r>
            <w:r>
              <w:rPr>
                <w:sz w:val="20"/>
                <w:szCs w:val="20"/>
                <w:lang w:val="en-US"/>
              </w:rPr>
              <w:t>s</w:t>
            </w:r>
            <w:r w:rsidRPr="00B56E8D">
              <w:rPr>
                <w:sz w:val="20"/>
                <w:szCs w:val="20"/>
                <w:lang w:val="en-US"/>
              </w:rPr>
              <w:t xml:space="preserve">ubcategory in table above was not explicitly </w:t>
            </w:r>
            <w:r w:rsidR="6FA2B935" w:rsidRPr="01FF54DE">
              <w:rPr>
                <w:sz w:val="20"/>
                <w:szCs w:val="20"/>
                <w:lang w:val="en-US"/>
              </w:rPr>
              <w:t>considered</w:t>
            </w:r>
            <w:r>
              <w:rPr>
                <w:sz w:val="20"/>
                <w:szCs w:val="20"/>
                <w:lang w:val="en-US"/>
              </w:rPr>
              <w:t>,</w:t>
            </w:r>
            <w:r w:rsidRPr="00B56E8D">
              <w:rPr>
                <w:sz w:val="20"/>
                <w:szCs w:val="20"/>
                <w:lang w:val="en-US"/>
              </w:rPr>
              <w:t xml:space="preserve"> but only a useful average assumed</w:t>
            </w:r>
            <w:r>
              <w:rPr>
                <w:sz w:val="20"/>
                <w:szCs w:val="20"/>
                <w:lang w:val="en-US"/>
              </w:rPr>
              <w:t>.</w:t>
            </w:r>
          </w:p>
        </w:tc>
      </w:tr>
      <w:tr w:rsidR="005E0DB3" w:rsidRPr="00C049B0" w14:paraId="1B91AA81" w14:textId="77777777" w:rsidTr="00C43112">
        <w:trPr>
          <w:trHeight w:val="4058"/>
        </w:trPr>
        <w:tc>
          <w:tcPr>
            <w:cnfStyle w:val="001000000000" w:firstRow="0" w:lastRow="0" w:firstColumn="1" w:lastColumn="0" w:oddVBand="0" w:evenVBand="0" w:oddHBand="0" w:evenHBand="0" w:firstRowFirstColumn="0" w:firstRowLastColumn="0" w:lastRowFirstColumn="0" w:lastRowLastColumn="0"/>
            <w:tcW w:w="1730" w:type="dxa"/>
          </w:tcPr>
          <w:p w14:paraId="2F1D1A14" w14:textId="77777777" w:rsidR="005E0DB3" w:rsidRPr="00C43112" w:rsidRDefault="005E0DB3" w:rsidP="00864059">
            <w:pPr>
              <w:rPr>
                <w:b w:val="0"/>
                <w:bCs w:val="0"/>
                <w:sz w:val="20"/>
                <w:szCs w:val="20"/>
                <w:lang w:val="en-US"/>
              </w:rPr>
            </w:pPr>
            <w:r w:rsidRPr="00C43112">
              <w:rPr>
                <w:b w:val="0"/>
                <w:bCs w:val="0"/>
                <w:sz w:val="20"/>
                <w:szCs w:val="20"/>
                <w:lang w:val="en-US"/>
              </w:rPr>
              <w:t>Implication of Product Certification vs. System Certification</w:t>
            </w:r>
          </w:p>
        </w:tc>
        <w:tc>
          <w:tcPr>
            <w:tcW w:w="3766" w:type="dxa"/>
          </w:tcPr>
          <w:p w14:paraId="0A7E2EC9" w14:textId="77777777" w:rsidR="005E0DB3"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a) </w:t>
            </w:r>
            <w:r w:rsidRPr="001B0D8A">
              <w:rPr>
                <w:sz w:val="20"/>
                <w:szCs w:val="20"/>
                <w:u w:val="single"/>
                <w:lang w:val="en-US"/>
              </w:rPr>
              <w:t>Product Certification</w:t>
            </w:r>
            <w:r>
              <w:rPr>
                <w:sz w:val="20"/>
                <w:szCs w:val="20"/>
                <w:lang w:val="en-US"/>
              </w:rPr>
              <w:t xml:space="preserve">: all supply chain elements </w:t>
            </w:r>
            <w:proofErr w:type="gramStart"/>
            <w:r>
              <w:rPr>
                <w:sz w:val="20"/>
                <w:szCs w:val="20"/>
                <w:lang w:val="en-US"/>
              </w:rPr>
              <w:t>have to</w:t>
            </w:r>
            <w:proofErr w:type="gramEnd"/>
            <w:r>
              <w:rPr>
                <w:sz w:val="20"/>
                <w:szCs w:val="20"/>
                <w:lang w:val="en-US"/>
              </w:rPr>
              <w:t xml:space="preserve"> be certified (from feedstock producer to producer of final material – including traders and storage providers) </w:t>
            </w:r>
            <w:r w:rsidRPr="001B0D8A">
              <w:rPr>
                <w:rFonts w:ascii="Wingdings" w:eastAsia="Wingdings" w:hAnsi="Wingdings" w:cs="Wingdings"/>
                <w:sz w:val="20"/>
                <w:szCs w:val="20"/>
                <w:lang w:val="en-US"/>
              </w:rPr>
              <w:t>à</w:t>
            </w:r>
            <w:r>
              <w:rPr>
                <w:sz w:val="20"/>
                <w:szCs w:val="20"/>
                <w:lang w:val="en-US"/>
              </w:rPr>
              <w:t xml:space="preserve"> any biomaterial-related claim is strictly related to product batches (mainly for co-regulated systems)</w:t>
            </w:r>
          </w:p>
          <w:p w14:paraId="25D58D5E"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b) </w:t>
            </w:r>
            <w:r w:rsidRPr="001B0D8A">
              <w:rPr>
                <w:sz w:val="20"/>
                <w:szCs w:val="20"/>
                <w:u w:val="single"/>
                <w:lang w:val="en-US"/>
              </w:rPr>
              <w:t>System Certification</w:t>
            </w:r>
            <w:r>
              <w:rPr>
                <w:sz w:val="20"/>
                <w:szCs w:val="20"/>
                <w:lang w:val="en-US"/>
              </w:rPr>
              <w:t xml:space="preserve">: there is no requirement for certifying all supply chain elements; it would potentially be possible to take just one of the elements (e.g. biomass processor) to somehow include supply chain information and data into the scope of certification </w:t>
            </w:r>
            <w:r w:rsidRPr="001B0D8A">
              <w:rPr>
                <w:rFonts w:ascii="Wingdings" w:eastAsia="Wingdings" w:hAnsi="Wingdings" w:cs="Wingdings"/>
                <w:sz w:val="20"/>
                <w:szCs w:val="20"/>
                <w:lang w:val="en-US"/>
              </w:rPr>
              <w:t>à</w:t>
            </w:r>
            <w:r>
              <w:rPr>
                <w:sz w:val="20"/>
                <w:szCs w:val="20"/>
                <w:lang w:val="en-US"/>
              </w:rPr>
              <w:t xml:space="preserve"> any biomaterial related claim to product batches </w:t>
            </w:r>
            <w:proofErr w:type="gramStart"/>
            <w:r>
              <w:rPr>
                <w:sz w:val="20"/>
                <w:szCs w:val="20"/>
                <w:lang w:val="en-US"/>
              </w:rPr>
              <w:t>are</w:t>
            </w:r>
            <w:proofErr w:type="gramEnd"/>
            <w:r>
              <w:rPr>
                <w:sz w:val="20"/>
                <w:szCs w:val="20"/>
                <w:lang w:val="en-US"/>
              </w:rPr>
              <w:t xml:space="preserve"> not possible, however, a general statement may be made (mainly unregulated approaches).</w:t>
            </w:r>
          </w:p>
        </w:tc>
        <w:tc>
          <w:tcPr>
            <w:tcW w:w="3747" w:type="dxa"/>
          </w:tcPr>
          <w:p w14:paraId="0C9D1968" w14:textId="77777777" w:rsidR="005E0DB3"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 xml:space="preserve">a) Product Certification: looking at the final product, it </w:t>
            </w:r>
            <w:proofErr w:type="gramStart"/>
            <w:r>
              <w:rPr>
                <w:sz w:val="20"/>
                <w:szCs w:val="20"/>
                <w:lang w:val="en-US"/>
              </w:rPr>
              <w:t>has to</w:t>
            </w:r>
            <w:proofErr w:type="gramEnd"/>
            <w:r>
              <w:rPr>
                <w:sz w:val="20"/>
                <w:szCs w:val="20"/>
                <w:lang w:val="en-US"/>
              </w:rPr>
              <w:t xml:space="preserve"> be considered that all direct certification costs of all certified supply chain elements have to be considered respectively </w:t>
            </w:r>
            <w:proofErr w:type="spellStart"/>
            <w:r>
              <w:rPr>
                <w:sz w:val="20"/>
                <w:szCs w:val="20"/>
                <w:lang w:val="en-US"/>
              </w:rPr>
              <w:t>summarised</w:t>
            </w:r>
            <w:proofErr w:type="spellEnd"/>
          </w:p>
          <w:p w14:paraId="01E45E7C" w14:textId="77777777" w:rsidR="005E0DB3"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p>
          <w:p w14:paraId="31097B43" w14:textId="77777777" w:rsidR="005E0DB3" w:rsidRDefault="005E0DB3" w:rsidP="00864059">
            <w:pPr>
              <w:cnfStyle w:val="000000000000" w:firstRow="0" w:lastRow="0" w:firstColumn="0" w:lastColumn="0" w:oddVBand="0" w:evenVBand="0" w:oddHBand="0" w:evenHBand="0" w:firstRowFirstColumn="0" w:firstRowLastColumn="0" w:lastRowFirstColumn="0" w:lastRowLastColumn="0"/>
              <w:rPr>
                <w:sz w:val="20"/>
                <w:szCs w:val="20"/>
                <w:lang w:val="en-US"/>
              </w:rPr>
            </w:pPr>
            <w:r>
              <w:rPr>
                <w:sz w:val="20"/>
                <w:szCs w:val="20"/>
                <w:lang w:val="en-US"/>
              </w:rPr>
              <w:t>b) System Certification: looking at the final product, it may be considered that potentially only at one supply chain element certification costs arise – hence, these would be the only ones along the entire supply chain in this case.</w:t>
            </w:r>
          </w:p>
          <w:p w14:paraId="53CA865E" w14:textId="77777777" w:rsidR="005E0DB3" w:rsidRPr="00C049B0" w:rsidRDefault="005E0DB3" w:rsidP="00864059">
            <w:pPr>
              <w:cnfStyle w:val="000000000000" w:firstRow="0" w:lastRow="0" w:firstColumn="0" w:lastColumn="0" w:oddVBand="0" w:evenVBand="0" w:oddHBand="0" w:evenHBand="0" w:firstRowFirstColumn="0" w:firstRowLastColumn="0" w:lastRowFirstColumn="0" w:lastRowLastColumn="0"/>
              <w:rPr>
                <w:lang w:val="en-US"/>
              </w:rPr>
            </w:pPr>
            <w:r>
              <w:rPr>
                <w:sz w:val="20"/>
                <w:szCs w:val="20"/>
                <w:lang w:val="en-US"/>
              </w:rPr>
              <w:t xml:space="preserve"> </w:t>
            </w:r>
          </w:p>
        </w:tc>
      </w:tr>
    </w:tbl>
    <w:p w14:paraId="3E46CEFC" w14:textId="77777777" w:rsidR="005E0DB3" w:rsidRDefault="005E0DB3" w:rsidP="005E0DB3">
      <w:pPr>
        <w:shd w:val="clear" w:color="auto" w:fill="FFFFFF"/>
        <w:rPr>
          <w:lang w:val="en-US"/>
        </w:rPr>
      </w:pPr>
    </w:p>
    <w:p w14:paraId="3D7F7542" w14:textId="77777777" w:rsidR="00046582" w:rsidRDefault="00A01447" w:rsidP="00C91120">
      <w:pPr>
        <w:pStyle w:val="Heading2"/>
      </w:pPr>
      <w:bookmarkStart w:id="21" w:name="_Toc166064564"/>
      <w:bookmarkStart w:id="22" w:name="_Toc166064603"/>
      <w:bookmarkStart w:id="23" w:name="_Toc166064565"/>
      <w:bookmarkStart w:id="24" w:name="_Toc166064604"/>
      <w:bookmarkStart w:id="25" w:name="_Toc166064566"/>
      <w:bookmarkStart w:id="26" w:name="_Toc166064605"/>
      <w:bookmarkStart w:id="27" w:name="_Toc166073781"/>
      <w:bookmarkEnd w:id="21"/>
      <w:bookmarkEnd w:id="22"/>
      <w:bookmarkEnd w:id="23"/>
      <w:bookmarkEnd w:id="24"/>
      <w:bookmarkEnd w:id="25"/>
      <w:bookmarkEnd w:id="26"/>
      <w:r>
        <w:t>Indirect cost</w:t>
      </w:r>
      <w:r w:rsidR="00B54EBD">
        <w:t>s</w:t>
      </w:r>
      <w:bookmarkEnd w:id="27"/>
    </w:p>
    <w:p w14:paraId="5DC24B67" w14:textId="77777777" w:rsidR="002A580B" w:rsidRDefault="00E603A8" w:rsidP="00232EF4">
      <w:pPr>
        <w:jc w:val="both"/>
      </w:pPr>
      <w:r>
        <w:t>The indirect costs of certification were collected through the analysis of scientific literature.</w:t>
      </w:r>
      <w:r w:rsidR="004855F0">
        <w:t xml:space="preserve"> </w:t>
      </w:r>
      <w:r w:rsidR="00E1777B">
        <w:t xml:space="preserve">The research was also used to write a scientific article, which was submitted to a scientific journal on the </w:t>
      </w:r>
      <w:r w:rsidR="00852709">
        <w:t>19</w:t>
      </w:r>
      <w:r w:rsidR="00852709" w:rsidRPr="00852709">
        <w:rPr>
          <w:vertAlign w:val="superscript"/>
        </w:rPr>
        <w:t>th</w:t>
      </w:r>
      <w:r w:rsidR="00852709">
        <w:t xml:space="preserve"> of February 2023. </w:t>
      </w:r>
      <w:r w:rsidR="00346F27">
        <w:t xml:space="preserve">The quantitative </w:t>
      </w:r>
      <w:r w:rsidR="00B42D68">
        <w:t>information collected from literature</w:t>
      </w:r>
      <w:r w:rsidR="00346F27">
        <w:t xml:space="preserve"> </w:t>
      </w:r>
      <w:r w:rsidR="0088323F">
        <w:t>are available in the dataset associated to this report</w:t>
      </w:r>
      <w:r w:rsidR="00B24597">
        <w:t xml:space="preserve">, while the current section provides an analysis of </w:t>
      </w:r>
      <w:r w:rsidR="00B42D68">
        <w:t xml:space="preserve">the data. </w:t>
      </w:r>
    </w:p>
    <w:p w14:paraId="01D393E0" w14:textId="77777777" w:rsidR="00CE67B5" w:rsidRPr="00CE67B5" w:rsidRDefault="002B5648" w:rsidP="00232EF4">
      <w:pPr>
        <w:jc w:val="both"/>
      </w:pPr>
      <w:r>
        <w:t xml:space="preserve">The indirect costs of certification were measured in </w:t>
      </w:r>
      <w:r w:rsidR="1EC55D4B">
        <w:t>diverse</w:t>
      </w:r>
      <w:r>
        <w:t xml:space="preserve"> way</w:t>
      </w:r>
      <w:r w:rsidR="0013798D">
        <w:t xml:space="preserve">s in different papers. </w:t>
      </w:r>
      <w:r w:rsidR="00F53A6A">
        <w:t xml:space="preserve">The </w:t>
      </w:r>
      <w:r w:rsidR="00CE67B5" w:rsidRPr="00CE67B5">
        <w:t>outcome categorie</w:t>
      </w:r>
      <w:r w:rsidR="004855F0">
        <w:t xml:space="preserve">s as they were examined in the original studies as well as how they were aggregate for the current report are presented in Table </w:t>
      </w:r>
      <w:r w:rsidR="00A62D82">
        <w:t>6</w:t>
      </w:r>
      <w:r w:rsidR="004855F0">
        <w:t>.</w:t>
      </w:r>
      <w:r w:rsidR="00E8595B">
        <w:t xml:space="preserve"> </w:t>
      </w:r>
      <w:r w:rsidR="00A172E5">
        <w:t xml:space="preserve">In addition to </w:t>
      </w:r>
      <w:r w:rsidR="00206142">
        <w:t xml:space="preserve">information on the indirect costs, also data on the benefits of certification were collected. </w:t>
      </w:r>
    </w:p>
    <w:p w14:paraId="2CDCA99B" w14:textId="77777777" w:rsidR="00B54EBD" w:rsidRPr="00B54EBD" w:rsidRDefault="00B54EBD" w:rsidP="00B54EBD"/>
    <w:p w14:paraId="28635FC0" w14:textId="77777777" w:rsidR="00046582" w:rsidRPr="002562D9" w:rsidRDefault="00046582" w:rsidP="004C0571">
      <w:pPr>
        <w:pStyle w:val="Caption"/>
      </w:pPr>
      <w:r w:rsidRPr="002562D9">
        <w:t xml:space="preserve">Table </w:t>
      </w:r>
      <w:r w:rsidR="00A62D82">
        <w:t>6</w:t>
      </w:r>
      <w:r w:rsidRPr="002562D9">
        <w:t xml:space="preserve">. </w:t>
      </w:r>
      <w:r w:rsidR="00AD3A9E">
        <w:t>Matching</w:t>
      </w:r>
      <w:r>
        <w:t xml:space="preserve"> outcome categories </w:t>
      </w:r>
      <w:r w:rsidR="00AD3A9E">
        <w:t>of</w:t>
      </w:r>
      <w:r>
        <w:t xml:space="preserve"> the original studies </w:t>
      </w:r>
      <w:r w:rsidR="00AD3A9E">
        <w:t>with those</w:t>
      </w:r>
      <w:r>
        <w:t xml:space="preserve"> used in the current </w:t>
      </w:r>
      <w:r w:rsidR="004855F0">
        <w:t>report</w:t>
      </w:r>
      <w:r>
        <w:t xml:space="preserve">. </w:t>
      </w:r>
      <w:r w:rsidRPr="002562D9">
        <w:t>The last column shows the references of the studies treating each outcome category.</w:t>
      </w:r>
    </w:p>
    <w:tbl>
      <w:tblPr>
        <w:tblStyle w:val="TableGrid"/>
        <w:tblW w:w="9067" w:type="dxa"/>
        <w:tblLook w:val="04A0" w:firstRow="1" w:lastRow="0" w:firstColumn="1" w:lastColumn="0" w:noHBand="0" w:noVBand="1"/>
      </w:tblPr>
      <w:tblGrid>
        <w:gridCol w:w="1323"/>
        <w:gridCol w:w="3922"/>
        <w:gridCol w:w="3822"/>
      </w:tblGrid>
      <w:tr w:rsidR="00046582" w:rsidRPr="00847D9E" w14:paraId="148F7CE2" w14:textId="77777777" w:rsidTr="00B2350B">
        <w:tc>
          <w:tcPr>
            <w:tcW w:w="1323" w:type="dxa"/>
            <w:tcBorders>
              <w:top w:val="single" w:sz="12" w:space="0" w:color="auto"/>
              <w:left w:val="nil"/>
              <w:bottom w:val="single" w:sz="4" w:space="0" w:color="auto"/>
              <w:right w:val="nil"/>
            </w:tcBorders>
          </w:tcPr>
          <w:p w14:paraId="075D1B53" w14:textId="77777777" w:rsidR="00046582" w:rsidRPr="00847D9E" w:rsidRDefault="00046582" w:rsidP="00B2350B">
            <w:pPr>
              <w:rPr>
                <w:rFonts w:cs="Open Sans"/>
                <w:b/>
                <w:bCs/>
                <w:sz w:val="20"/>
                <w:szCs w:val="20"/>
              </w:rPr>
            </w:pPr>
            <w:r w:rsidRPr="00847D9E">
              <w:rPr>
                <w:rFonts w:cs="Open Sans"/>
                <w:b/>
                <w:bCs/>
                <w:sz w:val="20"/>
                <w:szCs w:val="20"/>
              </w:rPr>
              <w:t>Outcome category</w:t>
            </w:r>
          </w:p>
        </w:tc>
        <w:tc>
          <w:tcPr>
            <w:tcW w:w="3922" w:type="dxa"/>
            <w:tcBorders>
              <w:top w:val="single" w:sz="12" w:space="0" w:color="auto"/>
              <w:left w:val="nil"/>
              <w:bottom w:val="single" w:sz="4" w:space="0" w:color="auto"/>
              <w:right w:val="nil"/>
            </w:tcBorders>
          </w:tcPr>
          <w:p w14:paraId="19EDF913" w14:textId="77777777" w:rsidR="00046582" w:rsidRPr="00847D9E" w:rsidRDefault="00046582" w:rsidP="00B2350B">
            <w:pPr>
              <w:rPr>
                <w:rFonts w:cs="Open Sans"/>
                <w:b/>
                <w:bCs/>
                <w:sz w:val="20"/>
                <w:szCs w:val="20"/>
              </w:rPr>
            </w:pPr>
            <w:r w:rsidRPr="00847D9E">
              <w:rPr>
                <w:rFonts w:cs="Open Sans"/>
                <w:b/>
                <w:bCs/>
                <w:sz w:val="20"/>
                <w:szCs w:val="20"/>
              </w:rPr>
              <w:t>Outcome categories as presented in original study</w:t>
            </w:r>
          </w:p>
        </w:tc>
        <w:tc>
          <w:tcPr>
            <w:tcW w:w="3822" w:type="dxa"/>
            <w:tcBorders>
              <w:top w:val="single" w:sz="12" w:space="0" w:color="auto"/>
              <w:left w:val="nil"/>
              <w:right w:val="nil"/>
            </w:tcBorders>
          </w:tcPr>
          <w:p w14:paraId="59791109" w14:textId="77777777" w:rsidR="00046582" w:rsidRPr="00847D9E" w:rsidRDefault="00046582" w:rsidP="00B2350B">
            <w:pPr>
              <w:jc w:val="both"/>
              <w:rPr>
                <w:rFonts w:cs="Open Sans"/>
                <w:b/>
                <w:bCs/>
                <w:sz w:val="20"/>
                <w:szCs w:val="20"/>
              </w:rPr>
            </w:pPr>
            <w:r w:rsidRPr="00847D9E">
              <w:rPr>
                <w:rFonts w:cs="Open Sans"/>
                <w:b/>
                <w:bCs/>
                <w:sz w:val="20"/>
                <w:szCs w:val="20"/>
              </w:rPr>
              <w:t>Studies</w:t>
            </w:r>
          </w:p>
        </w:tc>
      </w:tr>
      <w:tr w:rsidR="00046582" w:rsidRPr="00D32377" w14:paraId="3BD01741" w14:textId="77777777" w:rsidTr="00B2350B">
        <w:tc>
          <w:tcPr>
            <w:tcW w:w="1323" w:type="dxa"/>
            <w:tcBorders>
              <w:left w:val="nil"/>
              <w:bottom w:val="nil"/>
              <w:right w:val="nil"/>
            </w:tcBorders>
          </w:tcPr>
          <w:p w14:paraId="5FB6B22E" w14:textId="77777777" w:rsidR="00046582" w:rsidRPr="00FD628C" w:rsidRDefault="00046582" w:rsidP="00B2350B">
            <w:pPr>
              <w:jc w:val="both"/>
              <w:rPr>
                <w:rFonts w:cs="Open Sans"/>
                <w:sz w:val="20"/>
                <w:szCs w:val="20"/>
              </w:rPr>
            </w:pPr>
            <w:r w:rsidRPr="00FD628C">
              <w:rPr>
                <w:rFonts w:cs="Open Sans"/>
                <w:sz w:val="20"/>
                <w:szCs w:val="20"/>
              </w:rPr>
              <w:t>Direct cost</w:t>
            </w:r>
          </w:p>
        </w:tc>
        <w:tc>
          <w:tcPr>
            <w:tcW w:w="3922" w:type="dxa"/>
            <w:tcBorders>
              <w:left w:val="nil"/>
              <w:bottom w:val="nil"/>
              <w:right w:val="nil"/>
            </w:tcBorders>
          </w:tcPr>
          <w:p w14:paraId="7EDE84DF" w14:textId="77777777" w:rsidR="00046582" w:rsidRPr="00FD628C" w:rsidRDefault="00046582" w:rsidP="00B2350B">
            <w:pPr>
              <w:rPr>
                <w:rFonts w:cs="Open Sans"/>
                <w:sz w:val="20"/>
                <w:szCs w:val="20"/>
              </w:rPr>
            </w:pPr>
            <w:r w:rsidRPr="002562D9">
              <w:rPr>
                <w:rFonts w:cs="Open Sans"/>
                <w:sz w:val="20"/>
                <w:szCs w:val="20"/>
              </w:rPr>
              <w:t>Certification fee</w:t>
            </w:r>
            <w:r w:rsidRPr="00FD628C">
              <w:rPr>
                <w:rFonts w:cs="Open Sans"/>
                <w:sz w:val="20"/>
                <w:szCs w:val="20"/>
              </w:rPr>
              <w:t>,</w:t>
            </w:r>
            <w:r w:rsidRPr="002562D9">
              <w:rPr>
                <w:rFonts w:cs="Open Sans"/>
                <w:sz w:val="20"/>
                <w:szCs w:val="20"/>
              </w:rPr>
              <w:t xml:space="preserve"> </w:t>
            </w:r>
            <w:r w:rsidRPr="00FD628C">
              <w:rPr>
                <w:rFonts w:cs="Open Sans"/>
                <w:sz w:val="20"/>
                <w:szCs w:val="20"/>
              </w:rPr>
              <w:t>pre audit cost, main audit cost, training of managers cost, cost of acquiring documentation, cost for group certification documents, internal assessment cost, membership registration cost</w:t>
            </w:r>
          </w:p>
        </w:tc>
        <w:tc>
          <w:tcPr>
            <w:tcW w:w="3822" w:type="dxa"/>
            <w:tcBorders>
              <w:left w:val="nil"/>
              <w:bottom w:val="nil"/>
              <w:right w:val="nil"/>
            </w:tcBorders>
          </w:tcPr>
          <w:p w14:paraId="399C4A03" w14:textId="77777777" w:rsidR="00046582" w:rsidRPr="002562D9" w:rsidRDefault="00046582" w:rsidP="00B2350B">
            <w:pPr>
              <w:rPr>
                <w:rFonts w:eastAsia="Times New Roman" w:cs="Open Sans"/>
                <w:color w:val="000000"/>
                <w:sz w:val="20"/>
                <w:szCs w:val="20"/>
                <w:lang w:val="fr-FR" w:eastAsia="en-GB"/>
              </w:rPr>
            </w:pPr>
            <w:proofErr w:type="spellStart"/>
            <w:r w:rsidRPr="00FD628C">
              <w:rPr>
                <w:rFonts w:eastAsia="Times New Roman" w:cs="Open Sans"/>
                <w:color w:val="000000"/>
                <w:sz w:val="20"/>
                <w:szCs w:val="20"/>
                <w:lang w:val="fr-FR" w:eastAsia="en-GB"/>
              </w:rPr>
              <w:t>A</w:t>
            </w:r>
            <w:r w:rsidRPr="002562D9">
              <w:rPr>
                <w:rFonts w:eastAsia="Times New Roman" w:cs="Open Sans"/>
                <w:color w:val="000000"/>
                <w:sz w:val="20"/>
                <w:szCs w:val="20"/>
                <w:lang w:val="fr-FR" w:eastAsia="en-GB"/>
              </w:rPr>
              <w:t>isyah</w:t>
            </w:r>
            <w:proofErr w:type="spellEnd"/>
            <w:r w:rsidRPr="002562D9">
              <w:rPr>
                <w:rFonts w:eastAsia="Times New Roman" w:cs="Open Sans"/>
                <w:color w:val="000000"/>
                <w:sz w:val="20"/>
                <w:szCs w:val="20"/>
                <w:lang w:val="fr-FR" w:eastAsia="en-GB"/>
              </w:rPr>
              <w:t xml:space="preserve"> et al</w:t>
            </w:r>
            <w:r w:rsidRPr="00FD628C">
              <w:rPr>
                <w:rFonts w:eastAsia="Times New Roman" w:cs="Open Sans"/>
                <w:color w:val="000000"/>
                <w:sz w:val="20"/>
                <w:szCs w:val="20"/>
                <w:lang w:val="fr-FR" w:eastAsia="en-GB"/>
              </w:rPr>
              <w:t xml:space="preserve">., </w:t>
            </w:r>
            <w:proofErr w:type="gramStart"/>
            <w:r w:rsidRPr="00FD628C">
              <w:rPr>
                <w:rFonts w:eastAsia="Times New Roman" w:cs="Open Sans"/>
                <w:color w:val="000000"/>
                <w:sz w:val="20"/>
                <w:szCs w:val="20"/>
                <w:lang w:val="fr-FR" w:eastAsia="en-GB"/>
              </w:rPr>
              <w:t>2021;</w:t>
            </w:r>
            <w:proofErr w:type="gramEnd"/>
            <w:r w:rsidRPr="00FD628C">
              <w:rPr>
                <w:rFonts w:eastAsia="Times New Roman" w:cs="Open Sans"/>
                <w:color w:val="000000"/>
                <w:sz w:val="20"/>
                <w:szCs w:val="20"/>
                <w:lang w:val="fr-FR" w:eastAsia="en-GB"/>
              </w:rPr>
              <w:t xml:space="preserve"> F</w:t>
            </w:r>
            <w:r w:rsidRPr="002562D9">
              <w:rPr>
                <w:rFonts w:eastAsia="Times New Roman" w:cs="Open Sans"/>
                <w:color w:val="000000"/>
                <w:sz w:val="20"/>
                <w:szCs w:val="20"/>
                <w:lang w:val="fr-FR" w:eastAsia="en-GB"/>
              </w:rPr>
              <w:t>rey et al</w:t>
            </w:r>
            <w:r w:rsidRPr="00FD628C">
              <w:rPr>
                <w:rFonts w:eastAsia="Times New Roman" w:cs="Open Sans"/>
                <w:color w:val="000000"/>
                <w:sz w:val="20"/>
                <w:szCs w:val="20"/>
                <w:lang w:val="fr-FR" w:eastAsia="en-GB"/>
              </w:rPr>
              <w:t xml:space="preserve">., 2021; </w:t>
            </w:r>
            <w:proofErr w:type="spellStart"/>
            <w:r w:rsidRPr="002562D9">
              <w:rPr>
                <w:rFonts w:eastAsia="Times New Roman" w:cs="Open Sans"/>
                <w:color w:val="000000"/>
                <w:sz w:val="20"/>
                <w:szCs w:val="20"/>
                <w:lang w:val="fr-FR" w:eastAsia="en-GB"/>
              </w:rPr>
              <w:t>Hidayat</w:t>
            </w:r>
            <w:proofErr w:type="spellEnd"/>
            <w:r w:rsidRPr="002562D9">
              <w:rPr>
                <w:rFonts w:eastAsia="Times New Roman" w:cs="Open Sans"/>
                <w:color w:val="000000"/>
                <w:sz w:val="20"/>
                <w:szCs w:val="20"/>
                <w:lang w:val="fr-FR" w:eastAsia="en-GB"/>
              </w:rPr>
              <w:t xml:space="preserve"> et al</w:t>
            </w:r>
            <w:r w:rsidRPr="00FD628C">
              <w:rPr>
                <w:rFonts w:eastAsia="Times New Roman" w:cs="Open Sans"/>
                <w:color w:val="000000"/>
                <w:sz w:val="20"/>
                <w:szCs w:val="20"/>
                <w:lang w:val="fr-FR" w:eastAsia="en-GB"/>
              </w:rPr>
              <w:t xml:space="preserve">., 2016; </w:t>
            </w:r>
            <w:proofErr w:type="spellStart"/>
            <w:r w:rsidRPr="00FD628C">
              <w:rPr>
                <w:rFonts w:eastAsia="Times New Roman" w:cs="Open Sans"/>
                <w:color w:val="000000"/>
                <w:sz w:val="20"/>
                <w:szCs w:val="20"/>
                <w:lang w:val="fr-FR" w:eastAsia="en-GB"/>
              </w:rPr>
              <w:t>H</w:t>
            </w:r>
            <w:r w:rsidRPr="002562D9">
              <w:rPr>
                <w:rFonts w:eastAsia="Times New Roman" w:cs="Open Sans"/>
                <w:color w:val="000000"/>
                <w:sz w:val="20"/>
                <w:szCs w:val="20"/>
                <w:lang w:val="fr-FR" w:eastAsia="en-GB"/>
              </w:rPr>
              <w:t>utabarat</w:t>
            </w:r>
            <w:proofErr w:type="spellEnd"/>
            <w:r w:rsidRPr="002562D9">
              <w:rPr>
                <w:rFonts w:eastAsia="Times New Roman" w:cs="Open Sans"/>
                <w:color w:val="000000"/>
                <w:sz w:val="20"/>
                <w:szCs w:val="20"/>
                <w:lang w:val="fr-FR" w:eastAsia="en-GB"/>
              </w:rPr>
              <w:t xml:space="preserve"> et al</w:t>
            </w:r>
            <w:r w:rsidRPr="00FD628C">
              <w:rPr>
                <w:rFonts w:eastAsia="Times New Roman" w:cs="Open Sans"/>
                <w:color w:val="000000"/>
                <w:sz w:val="20"/>
                <w:szCs w:val="20"/>
                <w:lang w:val="fr-FR" w:eastAsia="en-GB"/>
              </w:rPr>
              <w:t xml:space="preserve">., 2018; </w:t>
            </w:r>
            <w:proofErr w:type="spellStart"/>
            <w:r w:rsidRPr="00FD628C">
              <w:rPr>
                <w:rFonts w:eastAsia="Times New Roman" w:cs="Open Sans"/>
                <w:color w:val="000000"/>
                <w:sz w:val="20"/>
                <w:szCs w:val="20"/>
                <w:lang w:val="fr-FR" w:eastAsia="en-GB"/>
              </w:rPr>
              <w:t>Purbasari</w:t>
            </w:r>
            <w:proofErr w:type="spellEnd"/>
            <w:r w:rsidRPr="00FD628C">
              <w:rPr>
                <w:rFonts w:eastAsia="Times New Roman" w:cs="Open Sans"/>
                <w:color w:val="000000"/>
                <w:sz w:val="20"/>
                <w:szCs w:val="20"/>
                <w:lang w:val="fr-FR" w:eastAsia="en-GB"/>
              </w:rPr>
              <w:t xml:space="preserve"> et al., 2020</w:t>
            </w:r>
          </w:p>
        </w:tc>
      </w:tr>
      <w:tr w:rsidR="00046582" w:rsidRPr="00D32377" w14:paraId="2E628867" w14:textId="77777777" w:rsidTr="00B2350B">
        <w:tc>
          <w:tcPr>
            <w:tcW w:w="1323" w:type="dxa"/>
            <w:tcBorders>
              <w:top w:val="nil"/>
              <w:left w:val="nil"/>
              <w:bottom w:val="nil"/>
              <w:right w:val="nil"/>
            </w:tcBorders>
          </w:tcPr>
          <w:p w14:paraId="3918DB00" w14:textId="77777777" w:rsidR="00046582" w:rsidRPr="00FD628C" w:rsidRDefault="00046582" w:rsidP="00B2350B">
            <w:pPr>
              <w:jc w:val="both"/>
              <w:rPr>
                <w:rFonts w:cs="Open Sans"/>
                <w:sz w:val="20"/>
                <w:szCs w:val="20"/>
              </w:rPr>
            </w:pPr>
            <w:r w:rsidRPr="00FD628C">
              <w:rPr>
                <w:rFonts w:cs="Open Sans"/>
                <w:sz w:val="20"/>
                <w:szCs w:val="20"/>
              </w:rPr>
              <w:t>Indirect cost</w:t>
            </w:r>
          </w:p>
        </w:tc>
        <w:tc>
          <w:tcPr>
            <w:tcW w:w="3922" w:type="dxa"/>
            <w:tcBorders>
              <w:top w:val="nil"/>
              <w:left w:val="nil"/>
              <w:bottom w:val="nil"/>
              <w:right w:val="nil"/>
            </w:tcBorders>
          </w:tcPr>
          <w:p w14:paraId="0996664C" w14:textId="77777777" w:rsidR="00046582" w:rsidRPr="00FD628C" w:rsidRDefault="00046582" w:rsidP="00B2350B">
            <w:pPr>
              <w:rPr>
                <w:rFonts w:cs="Open Sans"/>
                <w:sz w:val="20"/>
                <w:szCs w:val="20"/>
              </w:rPr>
            </w:pPr>
            <w:r w:rsidRPr="00FD628C">
              <w:rPr>
                <w:rFonts w:cs="Open Sans"/>
                <w:sz w:val="20"/>
                <w:szCs w:val="20"/>
              </w:rPr>
              <w:t xml:space="preserve">Cost certified crop, fertilizer cost, pesticide cost, group member trainings cost, investment </w:t>
            </w:r>
            <w:proofErr w:type="gramStart"/>
            <w:r w:rsidRPr="00FD628C">
              <w:rPr>
                <w:rFonts w:cs="Open Sans"/>
                <w:sz w:val="20"/>
                <w:szCs w:val="20"/>
              </w:rPr>
              <w:t>costs,  labour</w:t>
            </w:r>
            <w:proofErr w:type="gramEnd"/>
            <w:r w:rsidRPr="00FD628C">
              <w:rPr>
                <w:rFonts w:cs="Open Sans"/>
                <w:sz w:val="20"/>
                <w:szCs w:val="20"/>
              </w:rPr>
              <w:t xml:space="preserve"> cost, operating costs, production cost, weighing and transport of harvest cost, Incident Command System establishment cost, Incident Command System training cost</w:t>
            </w:r>
          </w:p>
        </w:tc>
        <w:tc>
          <w:tcPr>
            <w:tcW w:w="3822" w:type="dxa"/>
            <w:tcBorders>
              <w:top w:val="nil"/>
              <w:left w:val="nil"/>
              <w:bottom w:val="nil"/>
              <w:right w:val="nil"/>
            </w:tcBorders>
          </w:tcPr>
          <w:p w14:paraId="69DF162C" w14:textId="77777777" w:rsidR="00046582" w:rsidRPr="002562D9" w:rsidRDefault="00046582" w:rsidP="00B2350B">
            <w:pPr>
              <w:rPr>
                <w:rFonts w:cs="Open Sans"/>
                <w:sz w:val="20"/>
                <w:szCs w:val="20"/>
                <w:lang w:val="fr-FR"/>
              </w:rPr>
            </w:pPr>
            <w:proofErr w:type="spellStart"/>
            <w:r w:rsidRPr="002562D9">
              <w:rPr>
                <w:rFonts w:cs="Open Sans"/>
                <w:sz w:val="20"/>
                <w:szCs w:val="20"/>
                <w:lang w:val="fr-FR"/>
              </w:rPr>
              <w:t>Aisyah</w:t>
            </w:r>
            <w:proofErr w:type="spellEnd"/>
            <w:r w:rsidRPr="002562D9">
              <w:rPr>
                <w:rFonts w:cs="Open Sans"/>
                <w:sz w:val="20"/>
                <w:szCs w:val="20"/>
                <w:lang w:val="fr-FR"/>
              </w:rPr>
              <w:t xml:space="preserve"> et al., </w:t>
            </w:r>
            <w:proofErr w:type="gramStart"/>
            <w:r w:rsidRPr="002562D9">
              <w:rPr>
                <w:rFonts w:cs="Open Sans"/>
                <w:sz w:val="20"/>
                <w:szCs w:val="20"/>
                <w:lang w:val="fr-FR"/>
              </w:rPr>
              <w:t>2021</w:t>
            </w:r>
            <w:r w:rsidRPr="00155363">
              <w:rPr>
                <w:rFonts w:cs="Open Sans"/>
                <w:sz w:val="20"/>
                <w:szCs w:val="20"/>
                <w:lang w:val="fr-FR"/>
              </w:rPr>
              <w:t>;</w:t>
            </w:r>
            <w:proofErr w:type="gramEnd"/>
            <w:r w:rsidRPr="00155363">
              <w:rPr>
                <w:rFonts w:cs="Open Sans"/>
                <w:sz w:val="20"/>
                <w:szCs w:val="20"/>
                <w:lang w:val="fr-FR"/>
              </w:rPr>
              <w:t xml:space="preserve"> Cox et al., 2018; </w:t>
            </w:r>
            <w:proofErr w:type="spellStart"/>
            <w:r w:rsidRPr="00155363">
              <w:rPr>
                <w:rFonts w:cs="Open Sans"/>
                <w:sz w:val="20"/>
                <w:szCs w:val="20"/>
                <w:lang w:val="fr-FR"/>
              </w:rPr>
              <w:t>Hidayat</w:t>
            </w:r>
            <w:proofErr w:type="spellEnd"/>
            <w:r w:rsidRPr="00155363">
              <w:rPr>
                <w:rFonts w:cs="Open Sans"/>
                <w:sz w:val="20"/>
                <w:szCs w:val="20"/>
                <w:lang w:val="fr-FR"/>
              </w:rPr>
              <w:t xml:space="preserve"> et al., 2016; </w:t>
            </w:r>
            <w:proofErr w:type="spellStart"/>
            <w:r w:rsidRPr="00155363">
              <w:rPr>
                <w:rFonts w:cs="Open Sans"/>
                <w:sz w:val="20"/>
                <w:szCs w:val="20"/>
                <w:lang w:val="fr-FR"/>
              </w:rPr>
              <w:t>Hutabarat</w:t>
            </w:r>
            <w:proofErr w:type="spellEnd"/>
            <w:r w:rsidRPr="00155363">
              <w:rPr>
                <w:rFonts w:cs="Open Sans"/>
                <w:sz w:val="20"/>
                <w:szCs w:val="20"/>
                <w:lang w:val="fr-FR"/>
              </w:rPr>
              <w:t xml:space="preserve"> et al, 2018; </w:t>
            </w:r>
            <w:proofErr w:type="spellStart"/>
            <w:r w:rsidRPr="002562D9">
              <w:rPr>
                <w:rFonts w:cs="Open Sans"/>
                <w:sz w:val="20"/>
                <w:szCs w:val="20"/>
                <w:lang w:val="fr-FR"/>
              </w:rPr>
              <w:t>Meemken</w:t>
            </w:r>
            <w:proofErr w:type="spellEnd"/>
            <w:r w:rsidRPr="002562D9">
              <w:rPr>
                <w:rFonts w:cs="Open Sans"/>
                <w:sz w:val="20"/>
                <w:szCs w:val="20"/>
                <w:lang w:val="fr-FR"/>
              </w:rPr>
              <w:t>, 2020, 2021; Oya et al., 2018;</w:t>
            </w:r>
            <w:r w:rsidRPr="00155363">
              <w:rPr>
                <w:rFonts w:cs="Open Sans"/>
                <w:sz w:val="20"/>
                <w:szCs w:val="20"/>
                <w:lang w:val="fr-FR"/>
              </w:rPr>
              <w:t xml:space="preserve"> </w:t>
            </w:r>
            <w:r w:rsidRPr="002562D9">
              <w:rPr>
                <w:rFonts w:cs="Open Sans"/>
                <w:sz w:val="20"/>
                <w:szCs w:val="20"/>
                <w:lang w:val="fr-FR"/>
              </w:rPr>
              <w:t>Reddy et al., 2022;</w:t>
            </w:r>
            <w:r w:rsidRPr="00155363">
              <w:rPr>
                <w:rFonts w:cs="Open Sans"/>
                <w:sz w:val="20"/>
                <w:szCs w:val="20"/>
                <w:lang w:val="fr-FR"/>
              </w:rPr>
              <w:t xml:space="preserve"> </w:t>
            </w:r>
            <w:proofErr w:type="spellStart"/>
            <w:r w:rsidRPr="00155363">
              <w:rPr>
                <w:rFonts w:cs="Open Sans"/>
                <w:sz w:val="20"/>
                <w:szCs w:val="20"/>
                <w:lang w:val="fr-FR"/>
              </w:rPr>
              <w:t>T</w:t>
            </w:r>
            <w:r w:rsidRPr="002562D9">
              <w:rPr>
                <w:rFonts w:cs="Open Sans"/>
                <w:sz w:val="20"/>
                <w:szCs w:val="20"/>
                <w:lang w:val="fr-FR"/>
              </w:rPr>
              <w:t>ey</w:t>
            </w:r>
            <w:proofErr w:type="spellEnd"/>
            <w:r w:rsidRPr="002562D9">
              <w:rPr>
                <w:rFonts w:cs="Open Sans"/>
                <w:sz w:val="20"/>
                <w:szCs w:val="20"/>
                <w:lang w:val="fr-FR"/>
              </w:rPr>
              <w:t xml:space="preserve"> et al</w:t>
            </w:r>
            <w:r w:rsidRPr="00155363">
              <w:rPr>
                <w:rFonts w:cs="Open Sans"/>
                <w:sz w:val="20"/>
                <w:szCs w:val="20"/>
                <w:lang w:val="fr-FR"/>
              </w:rPr>
              <w:t>., 2022</w:t>
            </w:r>
          </w:p>
        </w:tc>
      </w:tr>
      <w:tr w:rsidR="00046582" w:rsidRPr="00D32377" w14:paraId="43A36FFD" w14:textId="77777777" w:rsidTr="00B2350B">
        <w:tc>
          <w:tcPr>
            <w:tcW w:w="1323" w:type="dxa"/>
            <w:tcBorders>
              <w:top w:val="nil"/>
              <w:left w:val="nil"/>
              <w:bottom w:val="nil"/>
              <w:right w:val="nil"/>
            </w:tcBorders>
          </w:tcPr>
          <w:p w14:paraId="151798E9" w14:textId="77777777" w:rsidR="00046582" w:rsidRPr="00FD628C" w:rsidRDefault="00046582" w:rsidP="00B2350B">
            <w:pPr>
              <w:jc w:val="both"/>
              <w:rPr>
                <w:rFonts w:cs="Open Sans"/>
                <w:sz w:val="20"/>
                <w:szCs w:val="20"/>
              </w:rPr>
            </w:pPr>
            <w:r w:rsidRPr="00FD628C">
              <w:rPr>
                <w:rFonts w:cs="Open Sans"/>
                <w:sz w:val="20"/>
                <w:szCs w:val="20"/>
              </w:rPr>
              <w:t>Productivity</w:t>
            </w:r>
          </w:p>
        </w:tc>
        <w:tc>
          <w:tcPr>
            <w:tcW w:w="3922" w:type="dxa"/>
            <w:tcBorders>
              <w:top w:val="nil"/>
              <w:left w:val="nil"/>
              <w:bottom w:val="nil"/>
              <w:right w:val="nil"/>
            </w:tcBorders>
          </w:tcPr>
          <w:p w14:paraId="4551CCAE" w14:textId="77777777" w:rsidR="00046582" w:rsidRPr="00FD628C" w:rsidRDefault="00046582" w:rsidP="00B2350B">
            <w:pPr>
              <w:rPr>
                <w:rFonts w:cs="Open Sans"/>
                <w:sz w:val="20"/>
                <w:szCs w:val="20"/>
              </w:rPr>
            </w:pPr>
            <w:r w:rsidRPr="00FD628C">
              <w:rPr>
                <w:rFonts w:cs="Open Sans"/>
                <w:sz w:val="20"/>
                <w:szCs w:val="20"/>
              </w:rPr>
              <w:t>Changes in management practices, Fresh Fruit Bunch (FFB) production, FFB yield, productivity, stability of production, yield</w:t>
            </w:r>
          </w:p>
        </w:tc>
        <w:tc>
          <w:tcPr>
            <w:tcW w:w="3822" w:type="dxa"/>
            <w:tcBorders>
              <w:top w:val="nil"/>
              <w:left w:val="nil"/>
              <w:bottom w:val="nil"/>
              <w:right w:val="nil"/>
            </w:tcBorders>
          </w:tcPr>
          <w:p w14:paraId="6E26053A" w14:textId="77777777" w:rsidR="00046582" w:rsidRPr="002562D9" w:rsidRDefault="00046582" w:rsidP="00B2350B">
            <w:pPr>
              <w:rPr>
                <w:rFonts w:cs="Open Sans"/>
                <w:sz w:val="20"/>
                <w:szCs w:val="20"/>
                <w:lang w:val="fr-FR"/>
              </w:rPr>
            </w:pPr>
            <w:proofErr w:type="spellStart"/>
            <w:r w:rsidRPr="002562D9">
              <w:rPr>
                <w:rFonts w:cs="Open Sans"/>
                <w:sz w:val="20"/>
                <w:szCs w:val="20"/>
                <w:lang w:val="fr-FR"/>
              </w:rPr>
              <w:t>Blockeel</w:t>
            </w:r>
            <w:proofErr w:type="spellEnd"/>
            <w:r w:rsidRPr="002562D9">
              <w:rPr>
                <w:rFonts w:cs="Open Sans"/>
                <w:sz w:val="20"/>
                <w:szCs w:val="20"/>
                <w:lang w:val="fr-FR"/>
              </w:rPr>
              <w:t xml:space="preserve"> et al., </w:t>
            </w:r>
            <w:proofErr w:type="gramStart"/>
            <w:r w:rsidRPr="002562D9">
              <w:rPr>
                <w:rFonts w:cs="Open Sans"/>
                <w:sz w:val="20"/>
                <w:szCs w:val="20"/>
                <w:lang w:val="fr-FR"/>
              </w:rPr>
              <w:t>2023;</w:t>
            </w:r>
            <w:proofErr w:type="gramEnd"/>
            <w:r w:rsidRPr="00B80342">
              <w:rPr>
                <w:rFonts w:cs="Open Sans"/>
                <w:sz w:val="20"/>
                <w:szCs w:val="20"/>
                <w:lang w:val="fr-FR"/>
              </w:rPr>
              <w:t xml:space="preserve"> </w:t>
            </w:r>
            <w:proofErr w:type="spellStart"/>
            <w:r w:rsidRPr="002562D9">
              <w:rPr>
                <w:rFonts w:cs="Open Sans"/>
                <w:sz w:val="20"/>
                <w:szCs w:val="20"/>
                <w:lang w:val="fr-FR"/>
              </w:rPr>
              <w:t>Brako</w:t>
            </w:r>
            <w:proofErr w:type="spellEnd"/>
            <w:r w:rsidRPr="002562D9">
              <w:rPr>
                <w:rFonts w:cs="Open Sans"/>
                <w:sz w:val="20"/>
                <w:szCs w:val="20"/>
                <w:lang w:val="fr-FR"/>
              </w:rPr>
              <w:t xml:space="preserve"> et al., 2022; </w:t>
            </w:r>
            <w:proofErr w:type="spellStart"/>
            <w:r w:rsidRPr="002562D9">
              <w:rPr>
                <w:rFonts w:cs="Open Sans"/>
                <w:sz w:val="20"/>
                <w:szCs w:val="20"/>
                <w:lang w:val="fr-FR"/>
              </w:rPr>
              <w:t>Chalil</w:t>
            </w:r>
            <w:proofErr w:type="spellEnd"/>
            <w:r w:rsidRPr="002562D9">
              <w:rPr>
                <w:rFonts w:cs="Open Sans"/>
                <w:sz w:val="20"/>
                <w:szCs w:val="20"/>
                <w:lang w:val="fr-FR"/>
              </w:rPr>
              <w:t xml:space="preserve"> et al</w:t>
            </w:r>
            <w:r w:rsidRPr="00B80342">
              <w:rPr>
                <w:rFonts w:cs="Open Sans"/>
                <w:sz w:val="20"/>
                <w:szCs w:val="20"/>
                <w:lang w:val="fr-FR"/>
              </w:rPr>
              <w:t xml:space="preserve">., 2020; </w:t>
            </w:r>
            <w:proofErr w:type="spellStart"/>
            <w:r w:rsidRPr="00B80342">
              <w:rPr>
                <w:rFonts w:cs="Open Sans"/>
                <w:sz w:val="20"/>
                <w:szCs w:val="20"/>
                <w:lang w:val="fr-FR"/>
              </w:rPr>
              <w:t>C</w:t>
            </w:r>
            <w:r w:rsidRPr="002562D9">
              <w:rPr>
                <w:rFonts w:cs="Open Sans"/>
                <w:sz w:val="20"/>
                <w:szCs w:val="20"/>
                <w:lang w:val="fr-FR"/>
              </w:rPr>
              <w:t>ubbage</w:t>
            </w:r>
            <w:proofErr w:type="spellEnd"/>
            <w:r w:rsidRPr="002562D9">
              <w:rPr>
                <w:rFonts w:cs="Open Sans"/>
                <w:sz w:val="20"/>
                <w:szCs w:val="20"/>
                <w:lang w:val="fr-FR"/>
              </w:rPr>
              <w:t xml:space="preserve"> et al</w:t>
            </w:r>
            <w:r w:rsidRPr="00B80342">
              <w:rPr>
                <w:rFonts w:cs="Open Sans"/>
                <w:sz w:val="20"/>
                <w:szCs w:val="20"/>
                <w:lang w:val="fr-FR"/>
              </w:rPr>
              <w:t xml:space="preserve">., 2010; </w:t>
            </w:r>
            <w:proofErr w:type="spellStart"/>
            <w:r w:rsidRPr="002562D9">
              <w:rPr>
                <w:rFonts w:cs="Open Sans"/>
                <w:sz w:val="20"/>
                <w:szCs w:val="20"/>
                <w:lang w:val="fr-FR"/>
              </w:rPr>
              <w:t>Furumo</w:t>
            </w:r>
            <w:proofErr w:type="spellEnd"/>
            <w:r w:rsidRPr="002562D9">
              <w:rPr>
                <w:rFonts w:cs="Open Sans"/>
                <w:sz w:val="20"/>
                <w:szCs w:val="20"/>
                <w:lang w:val="fr-FR"/>
              </w:rPr>
              <w:t xml:space="preserve"> et al., </w:t>
            </w:r>
            <w:r w:rsidRPr="00B80342">
              <w:rPr>
                <w:rFonts w:cs="Open Sans"/>
                <w:sz w:val="20"/>
                <w:szCs w:val="20"/>
                <w:lang w:val="fr-FR"/>
              </w:rPr>
              <w:t xml:space="preserve">2020; </w:t>
            </w:r>
            <w:proofErr w:type="spellStart"/>
            <w:r w:rsidRPr="002562D9">
              <w:rPr>
                <w:rFonts w:cs="Open Sans"/>
                <w:sz w:val="20"/>
                <w:szCs w:val="20"/>
                <w:lang w:val="fr-FR"/>
              </w:rPr>
              <w:t>Hutabarat</w:t>
            </w:r>
            <w:proofErr w:type="spellEnd"/>
            <w:r w:rsidRPr="002562D9">
              <w:rPr>
                <w:rFonts w:cs="Open Sans"/>
                <w:sz w:val="20"/>
                <w:szCs w:val="20"/>
                <w:lang w:val="fr-FR"/>
              </w:rPr>
              <w:t xml:space="preserve"> et al., </w:t>
            </w:r>
            <w:r w:rsidRPr="00B80342">
              <w:rPr>
                <w:rFonts w:cs="Open Sans"/>
                <w:sz w:val="20"/>
                <w:szCs w:val="20"/>
                <w:lang w:val="fr-FR"/>
              </w:rPr>
              <w:t xml:space="preserve">2018; </w:t>
            </w:r>
            <w:proofErr w:type="spellStart"/>
            <w:r w:rsidRPr="002562D9">
              <w:rPr>
                <w:rFonts w:cs="Open Sans"/>
                <w:sz w:val="20"/>
                <w:szCs w:val="20"/>
                <w:lang w:val="fr-FR"/>
              </w:rPr>
              <w:t>Meemken</w:t>
            </w:r>
            <w:proofErr w:type="spellEnd"/>
            <w:r w:rsidRPr="002562D9">
              <w:rPr>
                <w:rFonts w:cs="Open Sans"/>
                <w:sz w:val="20"/>
                <w:szCs w:val="20"/>
                <w:lang w:val="fr-FR"/>
              </w:rPr>
              <w:t xml:space="preserve">, </w:t>
            </w:r>
            <w:r w:rsidRPr="00B80342">
              <w:rPr>
                <w:rFonts w:cs="Open Sans"/>
                <w:sz w:val="20"/>
                <w:szCs w:val="20"/>
                <w:lang w:val="fr-FR"/>
              </w:rPr>
              <w:t xml:space="preserve">2020, 2021; </w:t>
            </w:r>
            <w:proofErr w:type="spellStart"/>
            <w:r w:rsidRPr="002562D9">
              <w:rPr>
                <w:rFonts w:cs="Open Sans"/>
                <w:sz w:val="20"/>
                <w:szCs w:val="20"/>
                <w:lang w:val="fr-FR"/>
              </w:rPr>
              <w:t>Morgans</w:t>
            </w:r>
            <w:proofErr w:type="spellEnd"/>
            <w:r w:rsidRPr="002562D9">
              <w:rPr>
                <w:rFonts w:cs="Open Sans"/>
                <w:sz w:val="20"/>
                <w:szCs w:val="20"/>
                <w:lang w:val="fr-FR"/>
              </w:rPr>
              <w:t xml:space="preserve"> et al., 2018; Oya et al., </w:t>
            </w:r>
            <w:r w:rsidRPr="00B80342">
              <w:rPr>
                <w:rFonts w:cs="Open Sans"/>
                <w:sz w:val="20"/>
                <w:szCs w:val="20"/>
                <w:lang w:val="fr-FR"/>
              </w:rPr>
              <w:t xml:space="preserve">2018; </w:t>
            </w:r>
            <w:r w:rsidRPr="002562D9">
              <w:rPr>
                <w:rFonts w:cs="Open Sans"/>
                <w:sz w:val="20"/>
                <w:szCs w:val="20"/>
                <w:lang w:val="fr-FR"/>
              </w:rPr>
              <w:t xml:space="preserve">Reddy et al., </w:t>
            </w:r>
            <w:r w:rsidRPr="00B80342">
              <w:rPr>
                <w:rFonts w:cs="Open Sans"/>
                <w:sz w:val="20"/>
                <w:szCs w:val="20"/>
                <w:lang w:val="fr-FR"/>
              </w:rPr>
              <w:t xml:space="preserve">2022; </w:t>
            </w:r>
            <w:proofErr w:type="spellStart"/>
            <w:r w:rsidRPr="00B80342">
              <w:rPr>
                <w:rFonts w:cs="Open Sans"/>
                <w:sz w:val="20"/>
                <w:szCs w:val="20"/>
                <w:lang w:val="fr-FR"/>
              </w:rPr>
              <w:t>R</w:t>
            </w:r>
            <w:r w:rsidRPr="002562D9">
              <w:rPr>
                <w:rFonts w:cs="Open Sans"/>
                <w:sz w:val="20"/>
                <w:szCs w:val="20"/>
                <w:lang w:val="fr-FR"/>
              </w:rPr>
              <w:t>odhiah</w:t>
            </w:r>
            <w:proofErr w:type="spellEnd"/>
            <w:r w:rsidRPr="002562D9">
              <w:rPr>
                <w:rFonts w:cs="Open Sans"/>
                <w:sz w:val="20"/>
                <w:szCs w:val="20"/>
                <w:lang w:val="fr-FR"/>
              </w:rPr>
              <w:t xml:space="preserve"> et al., </w:t>
            </w:r>
            <w:r w:rsidRPr="00B80342">
              <w:rPr>
                <w:rFonts w:cs="Open Sans"/>
                <w:sz w:val="20"/>
                <w:szCs w:val="20"/>
                <w:lang w:val="fr-FR"/>
              </w:rPr>
              <w:t xml:space="preserve">2019; </w:t>
            </w:r>
            <w:proofErr w:type="spellStart"/>
            <w:r w:rsidRPr="00B80342">
              <w:rPr>
                <w:rFonts w:cs="Open Sans"/>
                <w:sz w:val="20"/>
                <w:szCs w:val="20"/>
                <w:lang w:val="fr-FR"/>
              </w:rPr>
              <w:t>T</w:t>
            </w:r>
            <w:r w:rsidRPr="002562D9">
              <w:rPr>
                <w:rFonts w:cs="Open Sans"/>
                <w:sz w:val="20"/>
                <w:szCs w:val="20"/>
                <w:lang w:val="fr-FR"/>
              </w:rPr>
              <w:t>ey</w:t>
            </w:r>
            <w:proofErr w:type="spellEnd"/>
            <w:r w:rsidRPr="002562D9">
              <w:rPr>
                <w:rFonts w:cs="Open Sans"/>
                <w:sz w:val="20"/>
                <w:szCs w:val="20"/>
                <w:lang w:val="fr-FR"/>
              </w:rPr>
              <w:t xml:space="preserve"> et al., </w:t>
            </w:r>
            <w:r w:rsidRPr="00B80342">
              <w:rPr>
                <w:rFonts w:cs="Open Sans"/>
                <w:sz w:val="20"/>
                <w:szCs w:val="20"/>
                <w:lang w:val="fr-FR"/>
              </w:rPr>
              <w:t xml:space="preserve">2021; </w:t>
            </w:r>
            <w:proofErr w:type="spellStart"/>
            <w:r w:rsidRPr="00B80342">
              <w:rPr>
                <w:rFonts w:cs="Open Sans"/>
                <w:sz w:val="20"/>
                <w:szCs w:val="20"/>
                <w:lang w:val="fr-FR"/>
              </w:rPr>
              <w:t>Traldi</w:t>
            </w:r>
            <w:proofErr w:type="spellEnd"/>
            <w:r w:rsidRPr="00B80342">
              <w:rPr>
                <w:rFonts w:cs="Open Sans"/>
                <w:sz w:val="20"/>
                <w:szCs w:val="20"/>
                <w:lang w:val="fr-FR"/>
              </w:rPr>
              <w:t>, 2021</w:t>
            </w:r>
          </w:p>
        </w:tc>
      </w:tr>
      <w:tr w:rsidR="00046582" w:rsidRPr="00FF1D05" w14:paraId="42B0DDCA" w14:textId="77777777" w:rsidTr="00B2350B">
        <w:tc>
          <w:tcPr>
            <w:tcW w:w="1323" w:type="dxa"/>
            <w:tcBorders>
              <w:top w:val="nil"/>
              <w:left w:val="nil"/>
              <w:bottom w:val="nil"/>
              <w:right w:val="nil"/>
            </w:tcBorders>
          </w:tcPr>
          <w:p w14:paraId="700C28BB" w14:textId="77777777" w:rsidR="00046582" w:rsidRPr="00FD628C" w:rsidRDefault="00046582" w:rsidP="00B2350B">
            <w:pPr>
              <w:jc w:val="both"/>
              <w:rPr>
                <w:rFonts w:cs="Open Sans"/>
                <w:sz w:val="20"/>
                <w:szCs w:val="20"/>
              </w:rPr>
            </w:pPr>
            <w:r w:rsidRPr="00FD628C">
              <w:rPr>
                <w:rFonts w:cs="Open Sans"/>
                <w:sz w:val="20"/>
                <w:szCs w:val="20"/>
              </w:rPr>
              <w:t>Revenue</w:t>
            </w:r>
          </w:p>
        </w:tc>
        <w:tc>
          <w:tcPr>
            <w:tcW w:w="3922" w:type="dxa"/>
            <w:tcBorders>
              <w:top w:val="nil"/>
              <w:left w:val="nil"/>
              <w:bottom w:val="nil"/>
              <w:right w:val="nil"/>
            </w:tcBorders>
          </w:tcPr>
          <w:p w14:paraId="1D837663" w14:textId="77777777" w:rsidR="00046582" w:rsidRPr="00FD628C" w:rsidRDefault="00046582" w:rsidP="00B2350B">
            <w:pPr>
              <w:rPr>
                <w:rFonts w:cs="Open Sans"/>
                <w:sz w:val="20"/>
                <w:szCs w:val="20"/>
              </w:rPr>
            </w:pPr>
            <w:r w:rsidRPr="00FD628C">
              <w:rPr>
                <w:rFonts w:cs="Open Sans"/>
                <w:sz w:val="20"/>
                <w:szCs w:val="20"/>
              </w:rPr>
              <w:t>Farm revenue; farm sales, FFB sale, gross revenue, partial returns, revenue from certified crop sale, total FFB revenue</w:t>
            </w:r>
          </w:p>
          <w:p w14:paraId="57616F88" w14:textId="77777777" w:rsidR="00046582" w:rsidRPr="00FD628C" w:rsidRDefault="00046582" w:rsidP="00B2350B">
            <w:pPr>
              <w:jc w:val="both"/>
              <w:rPr>
                <w:rFonts w:cs="Open Sans"/>
                <w:sz w:val="20"/>
                <w:szCs w:val="20"/>
              </w:rPr>
            </w:pPr>
          </w:p>
        </w:tc>
        <w:tc>
          <w:tcPr>
            <w:tcW w:w="3822" w:type="dxa"/>
            <w:tcBorders>
              <w:top w:val="nil"/>
              <w:left w:val="nil"/>
              <w:bottom w:val="nil"/>
              <w:right w:val="nil"/>
            </w:tcBorders>
          </w:tcPr>
          <w:p w14:paraId="50009DC1" w14:textId="77777777" w:rsidR="00046582" w:rsidRPr="00147757" w:rsidRDefault="00046582" w:rsidP="00B2350B">
            <w:pPr>
              <w:jc w:val="both"/>
              <w:rPr>
                <w:rFonts w:cs="Open Sans"/>
                <w:sz w:val="20"/>
                <w:szCs w:val="20"/>
              </w:rPr>
            </w:pPr>
            <w:r w:rsidRPr="00147757">
              <w:rPr>
                <w:rFonts w:cs="Open Sans"/>
                <w:sz w:val="20"/>
                <w:szCs w:val="20"/>
              </w:rPr>
              <w:t xml:space="preserve">Bok et al., 2022; Cox et al., 2018; </w:t>
            </w:r>
            <w:proofErr w:type="spellStart"/>
            <w:r w:rsidRPr="00147757">
              <w:rPr>
                <w:rFonts w:cs="Open Sans"/>
                <w:sz w:val="20"/>
                <w:szCs w:val="20"/>
              </w:rPr>
              <w:t>Fikri</w:t>
            </w:r>
            <w:proofErr w:type="spellEnd"/>
            <w:r w:rsidRPr="00147757">
              <w:rPr>
                <w:rFonts w:cs="Open Sans"/>
                <w:sz w:val="20"/>
                <w:szCs w:val="20"/>
              </w:rPr>
              <w:t xml:space="preserve"> et al., 2022; Frey et al., 2021; </w:t>
            </w:r>
            <w:proofErr w:type="spellStart"/>
            <w:r w:rsidRPr="00147757">
              <w:rPr>
                <w:rFonts w:cs="Open Sans"/>
                <w:sz w:val="20"/>
                <w:szCs w:val="20"/>
              </w:rPr>
              <w:t>Hidayat</w:t>
            </w:r>
            <w:proofErr w:type="spellEnd"/>
            <w:r w:rsidRPr="00147757">
              <w:rPr>
                <w:rFonts w:cs="Open Sans"/>
                <w:sz w:val="20"/>
                <w:szCs w:val="20"/>
              </w:rPr>
              <w:t xml:space="preserve"> et al., 2016; </w:t>
            </w:r>
            <w:proofErr w:type="spellStart"/>
            <w:r w:rsidRPr="00147757">
              <w:rPr>
                <w:rFonts w:cs="Open Sans"/>
                <w:sz w:val="20"/>
                <w:szCs w:val="20"/>
              </w:rPr>
              <w:t>Hutabarat</w:t>
            </w:r>
            <w:proofErr w:type="spellEnd"/>
            <w:r w:rsidRPr="00147757">
              <w:rPr>
                <w:rFonts w:cs="Open Sans"/>
                <w:sz w:val="20"/>
                <w:szCs w:val="20"/>
              </w:rPr>
              <w:t xml:space="preserve"> et al., 2018; Kato et al., 2020; </w:t>
            </w:r>
            <w:proofErr w:type="spellStart"/>
            <w:r w:rsidRPr="00147757">
              <w:rPr>
                <w:rFonts w:cs="Open Sans"/>
                <w:sz w:val="20"/>
                <w:szCs w:val="20"/>
              </w:rPr>
              <w:t>Meemken</w:t>
            </w:r>
            <w:proofErr w:type="spellEnd"/>
            <w:r w:rsidRPr="00147757">
              <w:rPr>
                <w:rFonts w:cs="Open Sans"/>
                <w:sz w:val="20"/>
                <w:szCs w:val="20"/>
              </w:rPr>
              <w:t>, 2020; Reddy et al., 2022; Wolff et al., 2022</w:t>
            </w:r>
          </w:p>
        </w:tc>
      </w:tr>
      <w:tr w:rsidR="00046582" w:rsidRPr="00D32377" w14:paraId="0FF67C60" w14:textId="77777777" w:rsidTr="00B2350B">
        <w:tc>
          <w:tcPr>
            <w:tcW w:w="1323" w:type="dxa"/>
            <w:tcBorders>
              <w:top w:val="nil"/>
              <w:left w:val="nil"/>
              <w:bottom w:val="nil"/>
              <w:right w:val="nil"/>
            </w:tcBorders>
          </w:tcPr>
          <w:p w14:paraId="16395EB5" w14:textId="77777777" w:rsidR="00046582" w:rsidRPr="00FD628C" w:rsidRDefault="00046582" w:rsidP="00B2350B">
            <w:pPr>
              <w:jc w:val="both"/>
              <w:rPr>
                <w:rFonts w:cs="Open Sans"/>
                <w:sz w:val="20"/>
                <w:szCs w:val="20"/>
              </w:rPr>
            </w:pPr>
            <w:r w:rsidRPr="00FD628C">
              <w:rPr>
                <w:rFonts w:cs="Open Sans"/>
                <w:sz w:val="20"/>
                <w:szCs w:val="20"/>
              </w:rPr>
              <w:t>Income</w:t>
            </w:r>
          </w:p>
        </w:tc>
        <w:tc>
          <w:tcPr>
            <w:tcW w:w="3922" w:type="dxa"/>
            <w:tcBorders>
              <w:top w:val="nil"/>
              <w:left w:val="nil"/>
              <w:bottom w:val="nil"/>
              <w:right w:val="nil"/>
            </w:tcBorders>
          </w:tcPr>
          <w:p w14:paraId="31F314CE" w14:textId="77777777" w:rsidR="00046582" w:rsidRPr="00FD628C" w:rsidRDefault="00046582" w:rsidP="00B2350B">
            <w:pPr>
              <w:rPr>
                <w:rFonts w:cs="Open Sans"/>
                <w:sz w:val="20"/>
                <w:szCs w:val="20"/>
              </w:rPr>
            </w:pPr>
            <w:r w:rsidRPr="00FD628C">
              <w:rPr>
                <w:rFonts w:cs="Open Sans"/>
                <w:sz w:val="20"/>
                <w:szCs w:val="20"/>
              </w:rPr>
              <w:t>Income, income from certified production, market mechanism, net revenue, profit (gross revenue-costs), household income, WATP (willingness and ability to pay), Net Present Value, value creation</w:t>
            </w:r>
          </w:p>
        </w:tc>
        <w:tc>
          <w:tcPr>
            <w:tcW w:w="3822" w:type="dxa"/>
            <w:tcBorders>
              <w:top w:val="nil"/>
              <w:left w:val="nil"/>
              <w:bottom w:val="nil"/>
              <w:right w:val="nil"/>
            </w:tcBorders>
          </w:tcPr>
          <w:p w14:paraId="5571EE83" w14:textId="77777777" w:rsidR="00046582" w:rsidRPr="002562D9" w:rsidRDefault="00046582" w:rsidP="00B2350B">
            <w:pPr>
              <w:rPr>
                <w:rFonts w:cs="Open Sans"/>
                <w:sz w:val="20"/>
                <w:szCs w:val="20"/>
                <w:lang w:val="fr-FR"/>
              </w:rPr>
            </w:pPr>
            <w:proofErr w:type="spellStart"/>
            <w:r w:rsidRPr="00B80342">
              <w:rPr>
                <w:rFonts w:cs="Open Sans"/>
                <w:sz w:val="20"/>
                <w:szCs w:val="20"/>
                <w:lang w:val="fr-FR"/>
              </w:rPr>
              <w:t>Aisyah</w:t>
            </w:r>
            <w:proofErr w:type="spellEnd"/>
            <w:r w:rsidRPr="00B80342">
              <w:rPr>
                <w:rFonts w:cs="Open Sans"/>
                <w:sz w:val="20"/>
                <w:szCs w:val="20"/>
                <w:lang w:val="fr-FR"/>
              </w:rPr>
              <w:t xml:space="preserve"> et al., </w:t>
            </w:r>
            <w:proofErr w:type="gramStart"/>
            <w:r w:rsidRPr="00B80342">
              <w:rPr>
                <w:rFonts w:cs="Open Sans"/>
                <w:sz w:val="20"/>
                <w:szCs w:val="20"/>
                <w:lang w:val="fr-FR"/>
              </w:rPr>
              <w:t>2021;</w:t>
            </w:r>
            <w:proofErr w:type="gramEnd"/>
            <w:r w:rsidRPr="00B80342">
              <w:rPr>
                <w:rFonts w:cs="Open Sans"/>
                <w:sz w:val="20"/>
                <w:szCs w:val="20"/>
                <w:lang w:val="fr-FR"/>
              </w:rPr>
              <w:t xml:space="preserve"> </w:t>
            </w:r>
            <w:proofErr w:type="spellStart"/>
            <w:r w:rsidRPr="002562D9">
              <w:rPr>
                <w:rFonts w:cs="Open Sans"/>
                <w:sz w:val="20"/>
                <w:szCs w:val="20"/>
                <w:lang w:val="fr-FR"/>
              </w:rPr>
              <w:t>Bok</w:t>
            </w:r>
            <w:proofErr w:type="spellEnd"/>
            <w:r w:rsidRPr="002562D9">
              <w:rPr>
                <w:rFonts w:cs="Open Sans"/>
                <w:sz w:val="20"/>
                <w:szCs w:val="20"/>
                <w:lang w:val="fr-FR"/>
              </w:rPr>
              <w:t xml:space="preserve"> et al., 2022; </w:t>
            </w:r>
            <w:proofErr w:type="spellStart"/>
            <w:r w:rsidRPr="002562D9">
              <w:rPr>
                <w:rFonts w:cs="Open Sans"/>
                <w:sz w:val="20"/>
                <w:szCs w:val="20"/>
                <w:lang w:val="fr-FR"/>
              </w:rPr>
              <w:t>Brako</w:t>
            </w:r>
            <w:proofErr w:type="spellEnd"/>
            <w:r w:rsidRPr="002562D9">
              <w:rPr>
                <w:rFonts w:cs="Open Sans"/>
                <w:sz w:val="20"/>
                <w:szCs w:val="20"/>
                <w:lang w:val="fr-FR"/>
              </w:rPr>
              <w:t xml:space="preserve"> et al.,</w:t>
            </w:r>
            <w:r w:rsidRPr="00B80342">
              <w:rPr>
                <w:rFonts w:cs="Open Sans"/>
                <w:sz w:val="20"/>
                <w:szCs w:val="20"/>
                <w:lang w:val="fr-FR"/>
              </w:rPr>
              <w:t xml:space="preserve"> </w:t>
            </w:r>
            <w:r w:rsidRPr="002562D9">
              <w:rPr>
                <w:rFonts w:cs="Open Sans"/>
                <w:sz w:val="20"/>
                <w:szCs w:val="20"/>
                <w:lang w:val="fr-FR"/>
              </w:rPr>
              <w:t xml:space="preserve">2022; </w:t>
            </w:r>
            <w:proofErr w:type="spellStart"/>
            <w:r w:rsidRPr="002562D9">
              <w:rPr>
                <w:rFonts w:cs="Open Sans"/>
                <w:sz w:val="20"/>
                <w:szCs w:val="20"/>
                <w:lang w:val="fr-FR"/>
              </w:rPr>
              <w:t>Burivalova</w:t>
            </w:r>
            <w:proofErr w:type="spellEnd"/>
            <w:r w:rsidRPr="002562D9">
              <w:rPr>
                <w:rFonts w:cs="Open Sans"/>
                <w:sz w:val="20"/>
                <w:szCs w:val="20"/>
                <w:lang w:val="fr-FR"/>
              </w:rPr>
              <w:t xml:space="preserve"> et al., 2017; </w:t>
            </w:r>
            <w:proofErr w:type="spellStart"/>
            <w:r w:rsidRPr="002562D9">
              <w:rPr>
                <w:rFonts w:cs="Open Sans"/>
                <w:sz w:val="20"/>
                <w:szCs w:val="20"/>
                <w:lang w:val="fr-FR"/>
              </w:rPr>
              <w:t>Dompreh</w:t>
            </w:r>
            <w:proofErr w:type="spellEnd"/>
            <w:r w:rsidRPr="002562D9">
              <w:rPr>
                <w:rFonts w:cs="Open Sans"/>
                <w:sz w:val="20"/>
                <w:szCs w:val="20"/>
                <w:lang w:val="fr-FR"/>
              </w:rPr>
              <w:t xml:space="preserve"> et al</w:t>
            </w:r>
            <w:r w:rsidRPr="00B80342">
              <w:rPr>
                <w:rFonts w:cs="Open Sans"/>
                <w:sz w:val="20"/>
                <w:szCs w:val="20"/>
                <w:lang w:val="fr-FR"/>
              </w:rPr>
              <w:t xml:space="preserve">., 2021; </w:t>
            </w:r>
            <w:proofErr w:type="spellStart"/>
            <w:r w:rsidRPr="002562D9">
              <w:rPr>
                <w:rFonts w:cs="Open Sans"/>
                <w:sz w:val="20"/>
                <w:szCs w:val="20"/>
                <w:lang w:val="fr-FR"/>
              </w:rPr>
              <w:t>Hidayat</w:t>
            </w:r>
            <w:proofErr w:type="spellEnd"/>
            <w:r w:rsidRPr="002562D9">
              <w:rPr>
                <w:rFonts w:cs="Open Sans"/>
                <w:sz w:val="20"/>
                <w:szCs w:val="20"/>
                <w:lang w:val="fr-FR"/>
              </w:rPr>
              <w:t xml:space="preserve"> et al</w:t>
            </w:r>
            <w:r w:rsidRPr="00B80342">
              <w:rPr>
                <w:rFonts w:cs="Open Sans"/>
                <w:sz w:val="20"/>
                <w:szCs w:val="20"/>
                <w:lang w:val="fr-FR"/>
              </w:rPr>
              <w:t xml:space="preserve">., 2016; </w:t>
            </w:r>
          </w:p>
          <w:p w14:paraId="0ED802F7" w14:textId="77777777" w:rsidR="00046582" w:rsidRPr="002562D9" w:rsidRDefault="00046582" w:rsidP="00B2350B">
            <w:pPr>
              <w:rPr>
                <w:rFonts w:cs="Open Sans"/>
                <w:sz w:val="20"/>
                <w:szCs w:val="20"/>
                <w:lang w:val="fr-FR"/>
              </w:rPr>
            </w:pPr>
            <w:proofErr w:type="spellStart"/>
            <w:r w:rsidRPr="00B80342">
              <w:rPr>
                <w:rFonts w:cs="Open Sans"/>
                <w:sz w:val="20"/>
                <w:szCs w:val="20"/>
                <w:lang w:val="fr-FR"/>
              </w:rPr>
              <w:t>Humphries</w:t>
            </w:r>
            <w:proofErr w:type="spellEnd"/>
            <w:r w:rsidRPr="00B80342">
              <w:rPr>
                <w:rFonts w:cs="Open Sans"/>
                <w:sz w:val="20"/>
                <w:szCs w:val="20"/>
                <w:lang w:val="fr-FR"/>
              </w:rPr>
              <w:t xml:space="preserve"> et al., </w:t>
            </w:r>
            <w:proofErr w:type="gramStart"/>
            <w:r w:rsidRPr="00B80342">
              <w:rPr>
                <w:rFonts w:cs="Open Sans"/>
                <w:sz w:val="20"/>
                <w:szCs w:val="20"/>
                <w:lang w:val="fr-FR"/>
              </w:rPr>
              <w:t>2006;</w:t>
            </w:r>
            <w:proofErr w:type="gramEnd"/>
            <w:r w:rsidRPr="00B80342">
              <w:rPr>
                <w:rFonts w:cs="Open Sans"/>
                <w:sz w:val="20"/>
                <w:szCs w:val="20"/>
                <w:lang w:val="fr-FR"/>
              </w:rPr>
              <w:t xml:space="preserve"> </w:t>
            </w:r>
            <w:proofErr w:type="spellStart"/>
            <w:r w:rsidRPr="00B80342">
              <w:rPr>
                <w:rFonts w:cs="Open Sans"/>
                <w:sz w:val="20"/>
                <w:szCs w:val="20"/>
                <w:lang w:val="fr-FR"/>
              </w:rPr>
              <w:t>H</w:t>
            </w:r>
            <w:r w:rsidRPr="002562D9">
              <w:rPr>
                <w:rFonts w:cs="Open Sans"/>
                <w:sz w:val="20"/>
                <w:szCs w:val="20"/>
                <w:lang w:val="fr-FR"/>
              </w:rPr>
              <w:t>utabarat</w:t>
            </w:r>
            <w:proofErr w:type="spellEnd"/>
            <w:r w:rsidRPr="002562D9">
              <w:rPr>
                <w:rFonts w:cs="Open Sans"/>
                <w:sz w:val="20"/>
                <w:szCs w:val="20"/>
                <w:lang w:val="fr-FR"/>
              </w:rPr>
              <w:t xml:space="preserve"> et al</w:t>
            </w:r>
            <w:r w:rsidRPr="00B80342">
              <w:rPr>
                <w:rFonts w:cs="Open Sans"/>
                <w:sz w:val="20"/>
                <w:szCs w:val="20"/>
                <w:lang w:val="fr-FR"/>
              </w:rPr>
              <w:t xml:space="preserve">., 2018; Kato et al., 2020; </w:t>
            </w:r>
            <w:proofErr w:type="spellStart"/>
            <w:r w:rsidRPr="002562D9">
              <w:rPr>
                <w:rFonts w:cs="Open Sans"/>
                <w:sz w:val="20"/>
                <w:szCs w:val="20"/>
                <w:lang w:val="fr-FR"/>
              </w:rPr>
              <w:t>Meemken</w:t>
            </w:r>
            <w:proofErr w:type="spellEnd"/>
            <w:r w:rsidRPr="002562D9">
              <w:rPr>
                <w:rFonts w:cs="Open Sans"/>
                <w:sz w:val="20"/>
                <w:szCs w:val="20"/>
                <w:lang w:val="fr-FR"/>
              </w:rPr>
              <w:t>, 2020; M</w:t>
            </w:r>
            <w:r w:rsidRPr="00B80342">
              <w:rPr>
                <w:rFonts w:cs="Open Sans"/>
                <w:sz w:val="20"/>
                <w:szCs w:val="20"/>
                <w:lang w:val="fr-FR"/>
              </w:rPr>
              <w:t xml:space="preserve">ook et al., 2018; </w:t>
            </w:r>
            <w:proofErr w:type="spellStart"/>
            <w:r w:rsidRPr="00B80342">
              <w:rPr>
                <w:rFonts w:cs="Open Sans"/>
                <w:sz w:val="20"/>
                <w:szCs w:val="20"/>
                <w:lang w:val="fr-FR"/>
              </w:rPr>
              <w:t>Morgans</w:t>
            </w:r>
            <w:proofErr w:type="spellEnd"/>
            <w:r w:rsidRPr="00B80342">
              <w:rPr>
                <w:rFonts w:cs="Open Sans"/>
                <w:sz w:val="20"/>
                <w:szCs w:val="20"/>
                <w:lang w:val="fr-FR"/>
              </w:rPr>
              <w:t xml:space="preserve"> et al</w:t>
            </w:r>
            <w:r w:rsidRPr="002562D9">
              <w:rPr>
                <w:rFonts w:cs="Open Sans"/>
                <w:sz w:val="20"/>
                <w:szCs w:val="20"/>
                <w:lang w:val="fr-FR"/>
              </w:rPr>
              <w:t xml:space="preserve">., 2018; Oya et al., 2018; </w:t>
            </w:r>
            <w:proofErr w:type="spellStart"/>
            <w:r w:rsidRPr="00B80342">
              <w:rPr>
                <w:rFonts w:cs="Open Sans"/>
                <w:sz w:val="20"/>
                <w:szCs w:val="20"/>
                <w:lang w:val="fr-FR"/>
              </w:rPr>
              <w:t>P</w:t>
            </w:r>
            <w:r w:rsidRPr="002562D9">
              <w:rPr>
                <w:rFonts w:cs="Open Sans"/>
                <w:sz w:val="20"/>
                <w:szCs w:val="20"/>
                <w:lang w:val="fr-FR"/>
              </w:rPr>
              <w:t>urbasari</w:t>
            </w:r>
            <w:proofErr w:type="spellEnd"/>
            <w:r w:rsidRPr="002562D9">
              <w:rPr>
                <w:rFonts w:cs="Open Sans"/>
                <w:sz w:val="20"/>
                <w:szCs w:val="20"/>
                <w:lang w:val="fr-FR"/>
              </w:rPr>
              <w:t xml:space="preserve"> et al</w:t>
            </w:r>
            <w:r w:rsidRPr="00B80342">
              <w:rPr>
                <w:rFonts w:cs="Open Sans"/>
                <w:sz w:val="20"/>
                <w:szCs w:val="20"/>
                <w:lang w:val="fr-FR"/>
              </w:rPr>
              <w:t xml:space="preserve">., 2020; Reddy et al., 2022; </w:t>
            </w:r>
            <w:proofErr w:type="spellStart"/>
            <w:r w:rsidRPr="00B80342">
              <w:rPr>
                <w:rFonts w:cs="Open Sans"/>
                <w:sz w:val="20"/>
                <w:szCs w:val="20"/>
                <w:lang w:val="fr-FR"/>
              </w:rPr>
              <w:t>Santika</w:t>
            </w:r>
            <w:proofErr w:type="spellEnd"/>
            <w:r w:rsidRPr="00B80342">
              <w:rPr>
                <w:rFonts w:cs="Open Sans"/>
                <w:sz w:val="20"/>
                <w:szCs w:val="20"/>
                <w:lang w:val="fr-FR"/>
              </w:rPr>
              <w:t xml:space="preserve"> et al., 2021; </w:t>
            </w:r>
            <w:proofErr w:type="spellStart"/>
            <w:r w:rsidRPr="00B80342">
              <w:rPr>
                <w:rFonts w:cs="Open Sans"/>
                <w:sz w:val="20"/>
                <w:szCs w:val="20"/>
                <w:lang w:val="fr-FR"/>
              </w:rPr>
              <w:t>Schleifer</w:t>
            </w:r>
            <w:proofErr w:type="spellEnd"/>
            <w:r w:rsidRPr="00B80342">
              <w:rPr>
                <w:rFonts w:cs="Open Sans"/>
                <w:sz w:val="20"/>
                <w:szCs w:val="20"/>
                <w:lang w:val="fr-FR"/>
              </w:rPr>
              <w:t xml:space="preserve"> et al., 2020; </w:t>
            </w:r>
            <w:proofErr w:type="spellStart"/>
            <w:r w:rsidRPr="00B80342">
              <w:rPr>
                <w:rFonts w:cs="Open Sans"/>
                <w:sz w:val="20"/>
                <w:szCs w:val="20"/>
                <w:lang w:val="fr-FR"/>
              </w:rPr>
              <w:t>Tey</w:t>
            </w:r>
            <w:proofErr w:type="spellEnd"/>
            <w:r w:rsidRPr="00B80342">
              <w:rPr>
                <w:rFonts w:cs="Open Sans"/>
                <w:sz w:val="20"/>
                <w:szCs w:val="20"/>
                <w:lang w:val="fr-FR"/>
              </w:rPr>
              <w:t xml:space="preserve"> et al., 2022; </w:t>
            </w:r>
            <w:proofErr w:type="spellStart"/>
            <w:r w:rsidRPr="00B80342">
              <w:rPr>
                <w:rFonts w:cs="Open Sans"/>
                <w:sz w:val="20"/>
                <w:szCs w:val="20"/>
                <w:lang w:val="fr-FR"/>
              </w:rPr>
              <w:t>Traldi</w:t>
            </w:r>
            <w:proofErr w:type="spellEnd"/>
            <w:r w:rsidRPr="00B80342">
              <w:rPr>
                <w:rFonts w:cs="Open Sans"/>
                <w:sz w:val="20"/>
                <w:szCs w:val="20"/>
                <w:lang w:val="fr-FR"/>
              </w:rPr>
              <w:t xml:space="preserve">, 2021; </w:t>
            </w:r>
            <w:r w:rsidRPr="002562D9">
              <w:rPr>
                <w:rFonts w:cs="Open Sans"/>
                <w:sz w:val="20"/>
                <w:szCs w:val="20"/>
                <w:lang w:val="fr-FR"/>
              </w:rPr>
              <w:t>Vogt et al., 2022</w:t>
            </w:r>
            <w:r w:rsidRPr="00B80342">
              <w:rPr>
                <w:rFonts w:cs="Open Sans"/>
                <w:sz w:val="20"/>
                <w:szCs w:val="20"/>
                <w:lang w:val="fr-FR"/>
              </w:rPr>
              <w:t xml:space="preserve">; </w:t>
            </w:r>
            <w:r w:rsidRPr="002562D9">
              <w:rPr>
                <w:rFonts w:cs="Open Sans"/>
                <w:sz w:val="20"/>
                <w:szCs w:val="20"/>
                <w:lang w:val="fr-FR"/>
              </w:rPr>
              <w:t xml:space="preserve">Wolff et al., 2022 </w:t>
            </w:r>
          </w:p>
        </w:tc>
      </w:tr>
      <w:tr w:rsidR="00046582" w:rsidRPr="00FF1D05" w14:paraId="64D627C3" w14:textId="77777777" w:rsidTr="00B2350B">
        <w:tc>
          <w:tcPr>
            <w:tcW w:w="1323" w:type="dxa"/>
            <w:tcBorders>
              <w:top w:val="nil"/>
              <w:left w:val="nil"/>
              <w:bottom w:val="nil"/>
              <w:right w:val="nil"/>
            </w:tcBorders>
          </w:tcPr>
          <w:p w14:paraId="7E0E1CA7" w14:textId="77777777" w:rsidR="00046582" w:rsidRPr="00FD628C" w:rsidRDefault="00046582" w:rsidP="00B2350B">
            <w:pPr>
              <w:rPr>
                <w:rFonts w:cs="Open Sans"/>
                <w:sz w:val="20"/>
                <w:szCs w:val="20"/>
              </w:rPr>
            </w:pPr>
            <w:r w:rsidRPr="00FD628C">
              <w:rPr>
                <w:rFonts w:cs="Open Sans"/>
                <w:sz w:val="20"/>
                <w:szCs w:val="20"/>
              </w:rPr>
              <w:t>Market access</w:t>
            </w:r>
          </w:p>
        </w:tc>
        <w:tc>
          <w:tcPr>
            <w:tcW w:w="3922" w:type="dxa"/>
            <w:tcBorders>
              <w:top w:val="nil"/>
              <w:left w:val="nil"/>
              <w:bottom w:val="nil"/>
              <w:right w:val="nil"/>
            </w:tcBorders>
          </w:tcPr>
          <w:p w14:paraId="7E6E3231" w14:textId="77777777" w:rsidR="00046582" w:rsidRPr="00FD628C" w:rsidRDefault="00046582" w:rsidP="00B2350B">
            <w:pPr>
              <w:rPr>
                <w:rFonts w:cs="Open Sans"/>
                <w:sz w:val="20"/>
                <w:szCs w:val="20"/>
              </w:rPr>
            </w:pPr>
            <w:r w:rsidRPr="00FD628C">
              <w:rPr>
                <w:rFonts w:cs="Open Sans"/>
                <w:sz w:val="20"/>
                <w:szCs w:val="20"/>
              </w:rPr>
              <w:t>Market access, market performance, positional advantage, stability of market</w:t>
            </w:r>
          </w:p>
        </w:tc>
        <w:tc>
          <w:tcPr>
            <w:tcW w:w="3822" w:type="dxa"/>
            <w:tcBorders>
              <w:top w:val="nil"/>
              <w:left w:val="nil"/>
              <w:bottom w:val="nil"/>
              <w:right w:val="nil"/>
            </w:tcBorders>
          </w:tcPr>
          <w:p w14:paraId="648887FF" w14:textId="77777777" w:rsidR="00046582" w:rsidRPr="002562D9" w:rsidRDefault="00046582" w:rsidP="00B2350B">
            <w:pPr>
              <w:rPr>
                <w:rFonts w:cs="Open Sans"/>
                <w:sz w:val="20"/>
                <w:szCs w:val="20"/>
                <w:lang w:val="fr-FR"/>
              </w:rPr>
            </w:pPr>
            <w:proofErr w:type="spellStart"/>
            <w:r w:rsidRPr="002562D9">
              <w:rPr>
                <w:rFonts w:cs="Open Sans"/>
                <w:sz w:val="20"/>
                <w:szCs w:val="20"/>
                <w:lang w:val="fr-FR"/>
              </w:rPr>
              <w:t>Blockeel</w:t>
            </w:r>
            <w:proofErr w:type="spellEnd"/>
            <w:r w:rsidRPr="002562D9">
              <w:rPr>
                <w:rFonts w:cs="Open Sans"/>
                <w:sz w:val="20"/>
                <w:szCs w:val="20"/>
                <w:lang w:val="fr-FR"/>
              </w:rPr>
              <w:t xml:space="preserve"> et al., </w:t>
            </w:r>
            <w:proofErr w:type="gramStart"/>
            <w:r w:rsidRPr="002562D9">
              <w:rPr>
                <w:rFonts w:cs="Open Sans"/>
                <w:sz w:val="20"/>
                <w:szCs w:val="20"/>
                <w:lang w:val="fr-FR"/>
              </w:rPr>
              <w:t xml:space="preserve">2023;  </w:t>
            </w:r>
            <w:proofErr w:type="spellStart"/>
            <w:r w:rsidRPr="002562D9">
              <w:rPr>
                <w:rFonts w:cs="Open Sans"/>
                <w:sz w:val="20"/>
                <w:szCs w:val="20"/>
                <w:lang w:val="fr-FR"/>
              </w:rPr>
              <w:t>Burivalova</w:t>
            </w:r>
            <w:proofErr w:type="spellEnd"/>
            <w:proofErr w:type="gramEnd"/>
            <w:r w:rsidRPr="002562D9">
              <w:rPr>
                <w:rFonts w:cs="Open Sans"/>
                <w:sz w:val="20"/>
                <w:szCs w:val="20"/>
                <w:lang w:val="fr-FR"/>
              </w:rPr>
              <w:t xml:space="preserve"> et al., 2017; </w:t>
            </w:r>
            <w:proofErr w:type="spellStart"/>
            <w:r w:rsidRPr="002562D9">
              <w:rPr>
                <w:rFonts w:cs="Open Sans"/>
                <w:sz w:val="20"/>
                <w:szCs w:val="20"/>
                <w:lang w:val="fr-FR"/>
              </w:rPr>
              <w:t>Fikri</w:t>
            </w:r>
            <w:proofErr w:type="spellEnd"/>
            <w:r w:rsidRPr="002562D9">
              <w:rPr>
                <w:rFonts w:cs="Open Sans"/>
                <w:sz w:val="20"/>
                <w:szCs w:val="20"/>
                <w:lang w:val="fr-FR"/>
              </w:rPr>
              <w:t xml:space="preserve"> et al., 2022</w:t>
            </w:r>
          </w:p>
        </w:tc>
      </w:tr>
      <w:tr w:rsidR="00046582" w:rsidRPr="00FF1D05" w14:paraId="7378CBD0" w14:textId="77777777" w:rsidTr="00B2350B">
        <w:tc>
          <w:tcPr>
            <w:tcW w:w="1323" w:type="dxa"/>
            <w:tcBorders>
              <w:top w:val="nil"/>
              <w:left w:val="nil"/>
              <w:bottom w:val="nil"/>
              <w:right w:val="nil"/>
            </w:tcBorders>
          </w:tcPr>
          <w:p w14:paraId="06C053C9" w14:textId="77777777" w:rsidR="00046582" w:rsidRPr="00FD628C" w:rsidRDefault="00046582" w:rsidP="00B2350B">
            <w:pPr>
              <w:rPr>
                <w:rFonts w:cs="Open Sans"/>
                <w:sz w:val="20"/>
                <w:szCs w:val="20"/>
              </w:rPr>
            </w:pPr>
            <w:r w:rsidRPr="00FD628C">
              <w:rPr>
                <w:rFonts w:cs="Open Sans"/>
                <w:sz w:val="20"/>
                <w:szCs w:val="20"/>
              </w:rPr>
              <w:t>Price premium</w:t>
            </w:r>
          </w:p>
        </w:tc>
        <w:tc>
          <w:tcPr>
            <w:tcW w:w="3922" w:type="dxa"/>
            <w:tcBorders>
              <w:top w:val="nil"/>
              <w:left w:val="nil"/>
              <w:bottom w:val="nil"/>
              <w:right w:val="nil"/>
            </w:tcBorders>
          </w:tcPr>
          <w:p w14:paraId="1B5B07BC" w14:textId="77777777" w:rsidR="00046582" w:rsidRPr="00FD628C" w:rsidRDefault="00046582" w:rsidP="00B2350B">
            <w:pPr>
              <w:rPr>
                <w:rFonts w:cs="Open Sans"/>
                <w:sz w:val="20"/>
                <w:szCs w:val="20"/>
              </w:rPr>
            </w:pPr>
            <w:r w:rsidRPr="00FD628C">
              <w:rPr>
                <w:rFonts w:cs="Open Sans"/>
                <w:sz w:val="20"/>
                <w:szCs w:val="20"/>
              </w:rPr>
              <w:t>FFB price, price premium, selling price</w:t>
            </w:r>
          </w:p>
        </w:tc>
        <w:tc>
          <w:tcPr>
            <w:tcW w:w="3822" w:type="dxa"/>
            <w:tcBorders>
              <w:top w:val="nil"/>
              <w:left w:val="nil"/>
              <w:bottom w:val="nil"/>
              <w:right w:val="nil"/>
            </w:tcBorders>
          </w:tcPr>
          <w:p w14:paraId="0E44763D" w14:textId="77777777" w:rsidR="00046582" w:rsidRPr="00147757" w:rsidRDefault="00046582" w:rsidP="00B2350B">
            <w:pPr>
              <w:rPr>
                <w:rFonts w:cs="Open Sans"/>
                <w:sz w:val="20"/>
                <w:szCs w:val="20"/>
              </w:rPr>
            </w:pPr>
            <w:proofErr w:type="spellStart"/>
            <w:r w:rsidRPr="00147757">
              <w:rPr>
                <w:rFonts w:cs="Open Sans"/>
                <w:sz w:val="20"/>
                <w:szCs w:val="20"/>
              </w:rPr>
              <w:t>Burivalova</w:t>
            </w:r>
            <w:proofErr w:type="spellEnd"/>
            <w:r w:rsidRPr="00147757">
              <w:rPr>
                <w:rFonts w:cs="Open Sans"/>
                <w:sz w:val="20"/>
                <w:szCs w:val="20"/>
              </w:rPr>
              <w:t xml:space="preserve"> et al., </w:t>
            </w:r>
            <w:proofErr w:type="gramStart"/>
            <w:r w:rsidRPr="00147757">
              <w:rPr>
                <w:rFonts w:cs="Open Sans"/>
                <w:sz w:val="20"/>
                <w:szCs w:val="20"/>
              </w:rPr>
              <w:t>2017 ;</w:t>
            </w:r>
            <w:proofErr w:type="gramEnd"/>
            <w:r w:rsidRPr="00147757">
              <w:rPr>
                <w:rFonts w:cs="Open Sans"/>
                <w:sz w:val="20"/>
                <w:szCs w:val="20"/>
              </w:rPr>
              <w:t xml:space="preserve">  </w:t>
            </w:r>
            <w:proofErr w:type="spellStart"/>
            <w:r w:rsidRPr="00147757">
              <w:rPr>
                <w:rFonts w:cs="Open Sans"/>
                <w:sz w:val="20"/>
                <w:szCs w:val="20"/>
              </w:rPr>
              <w:t>Chalil</w:t>
            </w:r>
            <w:proofErr w:type="spellEnd"/>
            <w:r w:rsidRPr="00147757">
              <w:rPr>
                <w:rFonts w:cs="Open Sans"/>
                <w:sz w:val="20"/>
                <w:szCs w:val="20"/>
              </w:rPr>
              <w:t xml:space="preserve"> et al., 2020 ; </w:t>
            </w:r>
            <w:proofErr w:type="spellStart"/>
            <w:r w:rsidRPr="00147757">
              <w:rPr>
                <w:rFonts w:cs="Open Sans"/>
                <w:sz w:val="20"/>
                <w:szCs w:val="20"/>
              </w:rPr>
              <w:t>Hutabarat</w:t>
            </w:r>
            <w:proofErr w:type="spellEnd"/>
            <w:r w:rsidRPr="00147757">
              <w:rPr>
                <w:rFonts w:cs="Open Sans"/>
                <w:sz w:val="20"/>
                <w:szCs w:val="20"/>
              </w:rPr>
              <w:t xml:space="preserve"> et al., 2018 ; </w:t>
            </w:r>
            <w:proofErr w:type="spellStart"/>
            <w:r w:rsidRPr="00147757">
              <w:rPr>
                <w:rFonts w:cs="Open Sans"/>
                <w:sz w:val="20"/>
                <w:szCs w:val="20"/>
              </w:rPr>
              <w:t>Meemken</w:t>
            </w:r>
            <w:proofErr w:type="spellEnd"/>
            <w:r w:rsidRPr="00147757">
              <w:rPr>
                <w:rFonts w:cs="Open Sans"/>
                <w:sz w:val="20"/>
                <w:szCs w:val="20"/>
              </w:rPr>
              <w:t xml:space="preserve">, 2021 ; </w:t>
            </w:r>
            <w:proofErr w:type="spellStart"/>
            <w:r w:rsidRPr="00147757">
              <w:rPr>
                <w:rFonts w:cs="Open Sans"/>
                <w:sz w:val="20"/>
                <w:szCs w:val="20"/>
              </w:rPr>
              <w:t>Meemken</w:t>
            </w:r>
            <w:proofErr w:type="spellEnd"/>
            <w:r w:rsidRPr="00147757">
              <w:rPr>
                <w:rFonts w:cs="Open Sans"/>
                <w:sz w:val="20"/>
                <w:szCs w:val="20"/>
              </w:rPr>
              <w:t xml:space="preserve"> et al., 2018 ; Oya et al., 2018 ; </w:t>
            </w:r>
            <w:proofErr w:type="spellStart"/>
            <w:r w:rsidRPr="00147757">
              <w:rPr>
                <w:rFonts w:cs="Open Sans"/>
                <w:sz w:val="20"/>
                <w:szCs w:val="20"/>
              </w:rPr>
              <w:t>Tey</w:t>
            </w:r>
            <w:proofErr w:type="spellEnd"/>
            <w:r w:rsidRPr="00147757">
              <w:rPr>
                <w:rFonts w:cs="Open Sans"/>
                <w:sz w:val="20"/>
                <w:szCs w:val="20"/>
              </w:rPr>
              <w:t xml:space="preserve"> et al., 2022 ; Wolff et al., 2022</w:t>
            </w:r>
          </w:p>
        </w:tc>
      </w:tr>
      <w:tr w:rsidR="00046582" w:rsidRPr="00D32377" w14:paraId="6C663782" w14:textId="77777777" w:rsidTr="00B2350B">
        <w:tc>
          <w:tcPr>
            <w:tcW w:w="1323" w:type="dxa"/>
            <w:tcBorders>
              <w:top w:val="nil"/>
              <w:left w:val="nil"/>
              <w:bottom w:val="nil"/>
              <w:right w:val="nil"/>
            </w:tcBorders>
          </w:tcPr>
          <w:p w14:paraId="7C2FD99A" w14:textId="77777777" w:rsidR="00046582" w:rsidRPr="00FD628C" w:rsidRDefault="00046582" w:rsidP="00B2350B">
            <w:pPr>
              <w:jc w:val="both"/>
              <w:rPr>
                <w:rFonts w:cs="Open Sans"/>
                <w:sz w:val="20"/>
                <w:szCs w:val="20"/>
              </w:rPr>
            </w:pPr>
            <w:r w:rsidRPr="00FD628C">
              <w:rPr>
                <w:rFonts w:cs="Open Sans"/>
                <w:sz w:val="20"/>
                <w:szCs w:val="20"/>
              </w:rPr>
              <w:t xml:space="preserve">Health </w:t>
            </w:r>
          </w:p>
        </w:tc>
        <w:tc>
          <w:tcPr>
            <w:tcW w:w="3922" w:type="dxa"/>
            <w:tcBorders>
              <w:top w:val="nil"/>
              <w:left w:val="nil"/>
              <w:bottom w:val="nil"/>
              <w:right w:val="nil"/>
            </w:tcBorders>
          </w:tcPr>
          <w:p w14:paraId="52BBF0A4" w14:textId="77777777" w:rsidR="00046582" w:rsidRPr="00FD628C" w:rsidRDefault="00046582" w:rsidP="00B2350B">
            <w:pPr>
              <w:rPr>
                <w:rFonts w:cs="Open Sans"/>
                <w:sz w:val="20"/>
                <w:szCs w:val="20"/>
              </w:rPr>
            </w:pPr>
            <w:r w:rsidRPr="00FD628C">
              <w:rPr>
                <w:rFonts w:cs="Open Sans"/>
                <w:sz w:val="20"/>
                <w:szCs w:val="20"/>
              </w:rPr>
              <w:t xml:space="preserve">Child mortality, food </w:t>
            </w:r>
            <w:proofErr w:type="gramStart"/>
            <w:r w:rsidRPr="00FD628C">
              <w:rPr>
                <w:rFonts w:cs="Open Sans"/>
                <w:sz w:val="20"/>
                <w:szCs w:val="20"/>
              </w:rPr>
              <w:t>security ,</w:t>
            </w:r>
            <w:proofErr w:type="gramEnd"/>
            <w:r w:rsidRPr="00FD628C">
              <w:rPr>
                <w:rFonts w:cs="Open Sans"/>
                <w:sz w:val="20"/>
                <w:szCs w:val="20"/>
              </w:rPr>
              <w:t xml:space="preserve"> health facilities, illness, nutrition, workspace safety and health provisions</w:t>
            </w:r>
          </w:p>
        </w:tc>
        <w:tc>
          <w:tcPr>
            <w:tcW w:w="3822" w:type="dxa"/>
            <w:tcBorders>
              <w:top w:val="nil"/>
              <w:left w:val="nil"/>
              <w:bottom w:val="nil"/>
              <w:right w:val="nil"/>
            </w:tcBorders>
          </w:tcPr>
          <w:p w14:paraId="0F0B9B9F" w14:textId="77777777" w:rsidR="00046582" w:rsidRPr="002562D9" w:rsidRDefault="00046582" w:rsidP="00B2350B">
            <w:pPr>
              <w:rPr>
                <w:rFonts w:cs="Open Sans"/>
                <w:sz w:val="20"/>
                <w:szCs w:val="20"/>
                <w:lang w:val="fr-FR"/>
              </w:rPr>
            </w:pPr>
            <w:proofErr w:type="spellStart"/>
            <w:r w:rsidRPr="002562D9">
              <w:rPr>
                <w:rFonts w:cs="Open Sans"/>
                <w:sz w:val="20"/>
                <w:szCs w:val="20"/>
                <w:lang w:val="fr-FR"/>
              </w:rPr>
              <w:t>Blockeel</w:t>
            </w:r>
            <w:proofErr w:type="spellEnd"/>
            <w:r w:rsidRPr="002562D9">
              <w:rPr>
                <w:rFonts w:cs="Open Sans"/>
                <w:sz w:val="20"/>
                <w:szCs w:val="20"/>
                <w:lang w:val="fr-FR"/>
              </w:rPr>
              <w:t xml:space="preserve"> et al., </w:t>
            </w:r>
            <w:proofErr w:type="gramStart"/>
            <w:r w:rsidRPr="002562D9">
              <w:rPr>
                <w:rFonts w:cs="Open Sans"/>
                <w:sz w:val="20"/>
                <w:szCs w:val="20"/>
                <w:lang w:val="fr-FR"/>
              </w:rPr>
              <w:t>2023;</w:t>
            </w:r>
            <w:proofErr w:type="gramEnd"/>
            <w:r w:rsidRPr="002562D9">
              <w:rPr>
                <w:rFonts w:cs="Open Sans"/>
                <w:sz w:val="20"/>
                <w:szCs w:val="20"/>
                <w:lang w:val="fr-FR"/>
              </w:rPr>
              <w:t xml:space="preserve"> </w:t>
            </w:r>
            <w:proofErr w:type="spellStart"/>
            <w:r w:rsidRPr="002562D9">
              <w:rPr>
                <w:rFonts w:cs="Open Sans"/>
                <w:sz w:val="20"/>
                <w:szCs w:val="20"/>
                <w:lang w:val="fr-FR"/>
              </w:rPr>
              <w:t>Brako</w:t>
            </w:r>
            <w:proofErr w:type="spellEnd"/>
            <w:r w:rsidRPr="002562D9">
              <w:rPr>
                <w:rFonts w:cs="Open Sans"/>
                <w:sz w:val="20"/>
                <w:szCs w:val="20"/>
                <w:lang w:val="fr-FR"/>
              </w:rPr>
              <w:t xml:space="preserve"> et al</w:t>
            </w:r>
            <w:r w:rsidRPr="00FD628C">
              <w:rPr>
                <w:rFonts w:cs="Open Sans"/>
                <w:sz w:val="20"/>
                <w:szCs w:val="20"/>
                <w:lang w:val="fr-FR"/>
              </w:rPr>
              <w:t xml:space="preserve">., 2022; </w:t>
            </w:r>
            <w:r w:rsidRPr="002562D9">
              <w:rPr>
                <w:rFonts w:cs="Open Sans"/>
                <w:sz w:val="20"/>
                <w:szCs w:val="20"/>
                <w:lang w:val="fr-FR"/>
              </w:rPr>
              <w:t xml:space="preserve">Lee et al., 2019; </w:t>
            </w:r>
            <w:proofErr w:type="spellStart"/>
            <w:r w:rsidRPr="00FD628C">
              <w:rPr>
                <w:rFonts w:cs="Open Sans"/>
                <w:sz w:val="20"/>
                <w:szCs w:val="20"/>
                <w:lang w:val="fr-FR"/>
              </w:rPr>
              <w:t>Morgans</w:t>
            </w:r>
            <w:proofErr w:type="spellEnd"/>
            <w:r w:rsidRPr="00FD628C">
              <w:rPr>
                <w:rFonts w:cs="Open Sans"/>
                <w:sz w:val="20"/>
                <w:szCs w:val="20"/>
                <w:lang w:val="fr-FR"/>
              </w:rPr>
              <w:t xml:space="preserve"> et al., 2018; </w:t>
            </w:r>
            <w:r w:rsidRPr="002562D9">
              <w:rPr>
                <w:rFonts w:cs="Open Sans"/>
                <w:sz w:val="20"/>
                <w:szCs w:val="20"/>
                <w:lang w:val="fr-FR"/>
              </w:rPr>
              <w:t xml:space="preserve">Oya et al., </w:t>
            </w:r>
            <w:r w:rsidRPr="00FD628C">
              <w:rPr>
                <w:rFonts w:cs="Open Sans"/>
                <w:sz w:val="20"/>
                <w:szCs w:val="20"/>
                <w:lang w:val="fr-FR"/>
              </w:rPr>
              <w:t xml:space="preserve">2018;  </w:t>
            </w:r>
            <w:proofErr w:type="spellStart"/>
            <w:r w:rsidRPr="002562D9">
              <w:rPr>
                <w:rFonts w:cs="Open Sans"/>
                <w:sz w:val="20"/>
                <w:szCs w:val="20"/>
                <w:lang w:val="fr-FR"/>
              </w:rPr>
              <w:t>Schleifer</w:t>
            </w:r>
            <w:proofErr w:type="spellEnd"/>
            <w:r w:rsidRPr="002562D9">
              <w:rPr>
                <w:rFonts w:cs="Open Sans"/>
                <w:sz w:val="20"/>
                <w:szCs w:val="20"/>
                <w:lang w:val="fr-FR"/>
              </w:rPr>
              <w:t xml:space="preserve"> et al., 2020</w:t>
            </w:r>
          </w:p>
          <w:p w14:paraId="4B5DE6A5" w14:textId="77777777" w:rsidR="00046582" w:rsidRPr="002562D9" w:rsidRDefault="00046582" w:rsidP="00B2350B">
            <w:pPr>
              <w:jc w:val="both"/>
              <w:rPr>
                <w:rFonts w:cs="Open Sans"/>
                <w:sz w:val="20"/>
                <w:szCs w:val="20"/>
                <w:lang w:val="fr-FR"/>
              </w:rPr>
            </w:pPr>
          </w:p>
        </w:tc>
      </w:tr>
      <w:tr w:rsidR="00046582" w:rsidRPr="00D32377" w14:paraId="168153FE" w14:textId="77777777" w:rsidTr="00B2350B">
        <w:tc>
          <w:tcPr>
            <w:tcW w:w="1323" w:type="dxa"/>
            <w:tcBorders>
              <w:top w:val="nil"/>
              <w:left w:val="nil"/>
              <w:bottom w:val="nil"/>
              <w:right w:val="nil"/>
            </w:tcBorders>
          </w:tcPr>
          <w:p w14:paraId="286C61D3" w14:textId="77777777" w:rsidR="00046582" w:rsidRPr="00FD628C" w:rsidRDefault="00046582" w:rsidP="00B2350B">
            <w:pPr>
              <w:jc w:val="both"/>
              <w:rPr>
                <w:rFonts w:cs="Open Sans"/>
                <w:sz w:val="20"/>
                <w:szCs w:val="20"/>
              </w:rPr>
            </w:pPr>
            <w:r w:rsidRPr="00FD628C">
              <w:rPr>
                <w:rFonts w:cs="Open Sans"/>
                <w:sz w:val="20"/>
                <w:szCs w:val="20"/>
              </w:rPr>
              <w:t>Education</w:t>
            </w:r>
          </w:p>
        </w:tc>
        <w:tc>
          <w:tcPr>
            <w:tcW w:w="3922" w:type="dxa"/>
            <w:tcBorders>
              <w:top w:val="nil"/>
              <w:left w:val="nil"/>
              <w:bottom w:val="nil"/>
              <w:right w:val="nil"/>
            </w:tcBorders>
          </w:tcPr>
          <w:p w14:paraId="60F1AF32" w14:textId="77777777" w:rsidR="00046582" w:rsidRPr="00FD628C" w:rsidRDefault="00046582" w:rsidP="00B2350B">
            <w:pPr>
              <w:rPr>
                <w:rFonts w:cs="Open Sans"/>
                <w:sz w:val="20"/>
                <w:szCs w:val="20"/>
              </w:rPr>
            </w:pPr>
            <w:r w:rsidRPr="00FD628C">
              <w:rPr>
                <w:rFonts w:cs="Open Sans"/>
                <w:sz w:val="20"/>
                <w:szCs w:val="20"/>
              </w:rPr>
              <w:t>Child school attendance, number of educational facilities, years of schooling</w:t>
            </w:r>
          </w:p>
        </w:tc>
        <w:tc>
          <w:tcPr>
            <w:tcW w:w="3822" w:type="dxa"/>
            <w:tcBorders>
              <w:top w:val="nil"/>
              <w:left w:val="nil"/>
              <w:bottom w:val="nil"/>
              <w:right w:val="nil"/>
            </w:tcBorders>
          </w:tcPr>
          <w:p w14:paraId="32DAFF4F" w14:textId="77777777" w:rsidR="00046582" w:rsidRPr="002562D9" w:rsidRDefault="00046582" w:rsidP="00B2350B">
            <w:pPr>
              <w:jc w:val="both"/>
              <w:rPr>
                <w:rFonts w:cs="Open Sans"/>
                <w:sz w:val="20"/>
                <w:szCs w:val="20"/>
                <w:lang w:val="fr-FR"/>
              </w:rPr>
            </w:pPr>
            <w:proofErr w:type="spellStart"/>
            <w:r w:rsidRPr="002562D9">
              <w:rPr>
                <w:rFonts w:cs="Open Sans"/>
                <w:sz w:val="20"/>
                <w:szCs w:val="20"/>
                <w:lang w:val="fr-FR"/>
              </w:rPr>
              <w:t>Brako</w:t>
            </w:r>
            <w:proofErr w:type="spellEnd"/>
            <w:r w:rsidRPr="002562D9">
              <w:rPr>
                <w:rFonts w:cs="Open Sans"/>
                <w:sz w:val="20"/>
                <w:szCs w:val="20"/>
                <w:lang w:val="fr-FR"/>
              </w:rPr>
              <w:t xml:space="preserve"> et al., </w:t>
            </w:r>
            <w:proofErr w:type="gramStart"/>
            <w:r w:rsidRPr="002562D9">
              <w:rPr>
                <w:rFonts w:cs="Open Sans"/>
                <w:sz w:val="20"/>
                <w:szCs w:val="20"/>
                <w:lang w:val="fr-FR"/>
              </w:rPr>
              <w:t>2022;</w:t>
            </w:r>
            <w:proofErr w:type="gramEnd"/>
            <w:r w:rsidRPr="002562D9">
              <w:rPr>
                <w:rFonts w:cs="Open Sans"/>
                <w:sz w:val="20"/>
                <w:szCs w:val="20"/>
                <w:lang w:val="fr-FR"/>
              </w:rPr>
              <w:t xml:space="preserve"> Lee et al., 2019; Oya et al., </w:t>
            </w:r>
            <w:r w:rsidRPr="00FD628C">
              <w:rPr>
                <w:rFonts w:cs="Open Sans"/>
                <w:sz w:val="20"/>
                <w:szCs w:val="20"/>
                <w:lang w:val="fr-FR"/>
              </w:rPr>
              <w:t>2020</w:t>
            </w:r>
          </w:p>
        </w:tc>
      </w:tr>
      <w:tr w:rsidR="00046582" w:rsidRPr="00FD628C" w14:paraId="568DF472" w14:textId="77777777" w:rsidTr="00B2350B">
        <w:tc>
          <w:tcPr>
            <w:tcW w:w="1323" w:type="dxa"/>
            <w:tcBorders>
              <w:top w:val="nil"/>
              <w:left w:val="nil"/>
              <w:bottom w:val="nil"/>
              <w:right w:val="nil"/>
            </w:tcBorders>
          </w:tcPr>
          <w:p w14:paraId="7A7FE607" w14:textId="77777777" w:rsidR="00046582" w:rsidRPr="00FD628C" w:rsidRDefault="00046582" w:rsidP="00B2350B">
            <w:pPr>
              <w:jc w:val="both"/>
              <w:rPr>
                <w:rFonts w:cs="Open Sans"/>
                <w:sz w:val="20"/>
                <w:szCs w:val="20"/>
              </w:rPr>
            </w:pPr>
            <w:r w:rsidRPr="00FD628C">
              <w:rPr>
                <w:rFonts w:cs="Open Sans"/>
                <w:sz w:val="20"/>
                <w:szCs w:val="20"/>
              </w:rPr>
              <w:t>Poverty reduction</w:t>
            </w:r>
          </w:p>
        </w:tc>
        <w:tc>
          <w:tcPr>
            <w:tcW w:w="3922" w:type="dxa"/>
            <w:tcBorders>
              <w:top w:val="nil"/>
              <w:left w:val="nil"/>
              <w:bottom w:val="nil"/>
              <w:right w:val="nil"/>
            </w:tcBorders>
          </w:tcPr>
          <w:p w14:paraId="17A88192" w14:textId="77777777" w:rsidR="00046582" w:rsidRPr="00FD628C" w:rsidRDefault="00046582" w:rsidP="00B2350B">
            <w:pPr>
              <w:rPr>
                <w:rFonts w:cs="Open Sans"/>
                <w:sz w:val="20"/>
                <w:szCs w:val="20"/>
              </w:rPr>
            </w:pPr>
            <w:r w:rsidRPr="00FD628C">
              <w:rPr>
                <w:rFonts w:cs="Open Sans"/>
                <w:sz w:val="20"/>
                <w:szCs w:val="20"/>
              </w:rPr>
              <w:t xml:space="preserve">Reduced number of poverty letters, </w:t>
            </w:r>
            <w:r w:rsidRPr="002562D9">
              <w:rPr>
                <w:rFonts w:cs="Open Sans"/>
                <w:color w:val="000000"/>
                <w:sz w:val="20"/>
                <w:szCs w:val="20"/>
              </w:rPr>
              <w:t>poverty incidence</w:t>
            </w:r>
          </w:p>
        </w:tc>
        <w:tc>
          <w:tcPr>
            <w:tcW w:w="3822" w:type="dxa"/>
            <w:tcBorders>
              <w:top w:val="nil"/>
              <w:left w:val="nil"/>
              <w:bottom w:val="nil"/>
              <w:right w:val="nil"/>
            </w:tcBorders>
          </w:tcPr>
          <w:p w14:paraId="367F8E96" w14:textId="77777777" w:rsidR="00046582" w:rsidRPr="00FD628C" w:rsidRDefault="00046582" w:rsidP="00B2350B">
            <w:pPr>
              <w:rPr>
                <w:rFonts w:cs="Open Sans"/>
                <w:sz w:val="20"/>
                <w:szCs w:val="20"/>
              </w:rPr>
            </w:pPr>
            <w:r w:rsidRPr="00FD628C">
              <w:rPr>
                <w:rFonts w:cs="Open Sans"/>
                <w:sz w:val="20"/>
                <w:szCs w:val="20"/>
              </w:rPr>
              <w:t>Meemken, 2020; Santika et al., 2021</w:t>
            </w:r>
          </w:p>
        </w:tc>
      </w:tr>
      <w:tr w:rsidR="00046582" w:rsidRPr="00D32377" w14:paraId="4F6A63E8" w14:textId="77777777" w:rsidTr="00B2350B">
        <w:tc>
          <w:tcPr>
            <w:tcW w:w="1323" w:type="dxa"/>
            <w:tcBorders>
              <w:top w:val="nil"/>
              <w:left w:val="nil"/>
              <w:bottom w:val="nil"/>
              <w:right w:val="nil"/>
            </w:tcBorders>
          </w:tcPr>
          <w:p w14:paraId="1EE79F18" w14:textId="77777777" w:rsidR="00046582" w:rsidRPr="00FD628C" w:rsidRDefault="00046582" w:rsidP="00B2350B">
            <w:pPr>
              <w:jc w:val="both"/>
              <w:rPr>
                <w:rFonts w:cs="Open Sans"/>
                <w:sz w:val="20"/>
                <w:szCs w:val="20"/>
              </w:rPr>
            </w:pPr>
            <w:r w:rsidRPr="00FD628C">
              <w:rPr>
                <w:rFonts w:cs="Open Sans"/>
                <w:sz w:val="20"/>
                <w:szCs w:val="20"/>
              </w:rPr>
              <w:t xml:space="preserve">Labour condition </w:t>
            </w:r>
          </w:p>
        </w:tc>
        <w:tc>
          <w:tcPr>
            <w:tcW w:w="3922" w:type="dxa"/>
            <w:tcBorders>
              <w:top w:val="nil"/>
              <w:left w:val="nil"/>
              <w:bottom w:val="nil"/>
              <w:right w:val="nil"/>
            </w:tcBorders>
          </w:tcPr>
          <w:p w14:paraId="36CF21DA" w14:textId="77777777" w:rsidR="00046582" w:rsidRPr="00FD628C" w:rsidRDefault="00046582" w:rsidP="00B2350B">
            <w:pPr>
              <w:rPr>
                <w:rFonts w:cs="Open Sans"/>
                <w:sz w:val="20"/>
                <w:szCs w:val="20"/>
              </w:rPr>
            </w:pPr>
            <w:r w:rsidRPr="00FD628C">
              <w:rPr>
                <w:rFonts w:cs="Open Sans"/>
                <w:sz w:val="20"/>
                <w:szCs w:val="20"/>
              </w:rPr>
              <w:t>Employment relations, number of workers, worker salary</w:t>
            </w:r>
          </w:p>
        </w:tc>
        <w:tc>
          <w:tcPr>
            <w:tcW w:w="3822" w:type="dxa"/>
            <w:tcBorders>
              <w:top w:val="nil"/>
              <w:left w:val="nil"/>
              <w:bottom w:val="nil"/>
              <w:right w:val="nil"/>
            </w:tcBorders>
          </w:tcPr>
          <w:p w14:paraId="435282A2" w14:textId="77777777" w:rsidR="00046582" w:rsidRPr="002562D9" w:rsidRDefault="00046582" w:rsidP="00B2350B">
            <w:pPr>
              <w:rPr>
                <w:rFonts w:cs="Open Sans"/>
                <w:sz w:val="20"/>
                <w:szCs w:val="20"/>
                <w:lang w:val="fr-FR"/>
              </w:rPr>
            </w:pPr>
            <w:proofErr w:type="spellStart"/>
            <w:r w:rsidRPr="002562D9">
              <w:rPr>
                <w:rFonts w:cs="Open Sans"/>
                <w:sz w:val="20"/>
                <w:szCs w:val="20"/>
                <w:lang w:val="fr-FR"/>
              </w:rPr>
              <w:t>Blockeel</w:t>
            </w:r>
            <w:proofErr w:type="spellEnd"/>
            <w:r w:rsidRPr="002562D9">
              <w:rPr>
                <w:rFonts w:cs="Open Sans"/>
                <w:sz w:val="20"/>
                <w:szCs w:val="20"/>
                <w:lang w:val="fr-FR"/>
              </w:rPr>
              <w:t xml:space="preserve"> et al., </w:t>
            </w:r>
            <w:proofErr w:type="gramStart"/>
            <w:r w:rsidRPr="002562D9">
              <w:rPr>
                <w:rFonts w:cs="Open Sans"/>
                <w:sz w:val="20"/>
                <w:szCs w:val="20"/>
                <w:lang w:val="fr-FR"/>
              </w:rPr>
              <w:t>2023;</w:t>
            </w:r>
            <w:proofErr w:type="gramEnd"/>
            <w:r w:rsidRPr="002562D9">
              <w:rPr>
                <w:rFonts w:cs="Open Sans"/>
                <w:sz w:val="20"/>
                <w:szCs w:val="20"/>
                <w:lang w:val="fr-FR"/>
              </w:rPr>
              <w:t xml:space="preserve"> </w:t>
            </w:r>
            <w:proofErr w:type="spellStart"/>
            <w:r w:rsidRPr="002562D9">
              <w:rPr>
                <w:rFonts w:cs="Open Sans"/>
                <w:sz w:val="20"/>
                <w:szCs w:val="20"/>
                <w:lang w:val="fr-FR"/>
              </w:rPr>
              <w:t>Furumo</w:t>
            </w:r>
            <w:proofErr w:type="spellEnd"/>
            <w:r w:rsidRPr="002562D9">
              <w:rPr>
                <w:rFonts w:cs="Open Sans"/>
                <w:sz w:val="20"/>
                <w:szCs w:val="20"/>
                <w:lang w:val="fr-FR"/>
              </w:rPr>
              <w:t xml:space="preserve"> et al., 2</w:t>
            </w:r>
            <w:r w:rsidRPr="00FD628C">
              <w:rPr>
                <w:rFonts w:cs="Open Sans"/>
                <w:sz w:val="20"/>
                <w:szCs w:val="20"/>
                <w:lang w:val="fr-FR"/>
              </w:rPr>
              <w:t>020</w:t>
            </w:r>
          </w:p>
        </w:tc>
      </w:tr>
      <w:tr w:rsidR="00046582" w:rsidRPr="005536D2" w14:paraId="5BDC0C5C" w14:textId="77777777" w:rsidTr="00B2350B">
        <w:tc>
          <w:tcPr>
            <w:tcW w:w="1323" w:type="dxa"/>
            <w:tcBorders>
              <w:top w:val="nil"/>
              <w:left w:val="nil"/>
              <w:bottom w:val="single" w:sz="12" w:space="0" w:color="auto"/>
              <w:right w:val="nil"/>
            </w:tcBorders>
          </w:tcPr>
          <w:p w14:paraId="3F879A11" w14:textId="77777777" w:rsidR="00046582" w:rsidRPr="00FD628C" w:rsidRDefault="00046582" w:rsidP="00B2350B">
            <w:pPr>
              <w:rPr>
                <w:rFonts w:cs="Open Sans"/>
                <w:sz w:val="20"/>
                <w:szCs w:val="20"/>
              </w:rPr>
            </w:pPr>
            <w:r w:rsidRPr="00FD628C">
              <w:rPr>
                <w:rFonts w:cs="Open Sans"/>
                <w:sz w:val="20"/>
                <w:szCs w:val="20"/>
              </w:rPr>
              <w:t>Well-being</w:t>
            </w:r>
          </w:p>
        </w:tc>
        <w:tc>
          <w:tcPr>
            <w:tcW w:w="3922" w:type="dxa"/>
            <w:tcBorders>
              <w:top w:val="nil"/>
              <w:left w:val="nil"/>
              <w:bottom w:val="single" w:sz="12" w:space="0" w:color="auto"/>
              <w:right w:val="nil"/>
            </w:tcBorders>
          </w:tcPr>
          <w:p w14:paraId="502E4F66" w14:textId="77777777" w:rsidR="00046582" w:rsidRPr="00FD628C" w:rsidRDefault="00046582" w:rsidP="00B2350B">
            <w:pPr>
              <w:rPr>
                <w:rFonts w:cs="Open Sans"/>
                <w:sz w:val="20"/>
                <w:szCs w:val="20"/>
              </w:rPr>
            </w:pPr>
            <w:r w:rsidRPr="00FD628C">
              <w:rPr>
                <w:rFonts w:cs="Open Sans"/>
                <w:sz w:val="20"/>
                <w:szCs w:val="20"/>
              </w:rPr>
              <w:t xml:space="preserve">Access to basic needs, households assets, capacity development, conflict resolution, gender equality, perception/satisfaction, reduced </w:t>
            </w:r>
            <w:proofErr w:type="gramStart"/>
            <w:r w:rsidRPr="00FD628C">
              <w:rPr>
                <w:rFonts w:cs="Open Sans"/>
                <w:sz w:val="20"/>
                <w:szCs w:val="20"/>
              </w:rPr>
              <w:t>water  and</w:t>
            </w:r>
            <w:proofErr w:type="gramEnd"/>
            <w:r w:rsidRPr="00FD628C">
              <w:rPr>
                <w:rFonts w:cs="Open Sans"/>
                <w:sz w:val="20"/>
                <w:szCs w:val="20"/>
              </w:rPr>
              <w:t xml:space="preserve"> land grabs, power dynamics, social mechanism, social network</w:t>
            </w:r>
          </w:p>
        </w:tc>
        <w:tc>
          <w:tcPr>
            <w:tcW w:w="3822" w:type="dxa"/>
            <w:tcBorders>
              <w:top w:val="nil"/>
              <w:left w:val="nil"/>
              <w:bottom w:val="single" w:sz="12" w:space="0" w:color="auto"/>
              <w:right w:val="nil"/>
            </w:tcBorders>
          </w:tcPr>
          <w:p w14:paraId="1BA8D200" w14:textId="77777777" w:rsidR="00046582" w:rsidRPr="002562D9" w:rsidRDefault="00046582" w:rsidP="00B2350B">
            <w:pPr>
              <w:rPr>
                <w:rFonts w:cs="Open Sans"/>
                <w:sz w:val="20"/>
                <w:szCs w:val="20"/>
                <w:lang w:val="fr-FR"/>
              </w:rPr>
            </w:pPr>
            <w:proofErr w:type="spellStart"/>
            <w:r w:rsidRPr="002562D9">
              <w:rPr>
                <w:rFonts w:cs="Open Sans"/>
                <w:sz w:val="20"/>
                <w:szCs w:val="20"/>
                <w:lang w:val="fr-FR"/>
              </w:rPr>
              <w:t>Blockeel</w:t>
            </w:r>
            <w:proofErr w:type="spellEnd"/>
            <w:r w:rsidRPr="002562D9">
              <w:rPr>
                <w:rFonts w:cs="Open Sans"/>
                <w:sz w:val="20"/>
                <w:szCs w:val="20"/>
                <w:lang w:val="fr-FR"/>
              </w:rPr>
              <w:t xml:space="preserve"> et al., </w:t>
            </w:r>
            <w:r w:rsidRPr="00B80342">
              <w:rPr>
                <w:rFonts w:cs="Open Sans"/>
                <w:sz w:val="20"/>
                <w:szCs w:val="20"/>
                <w:lang w:val="fr-FR"/>
              </w:rPr>
              <w:t xml:space="preserve">2023 ; </w:t>
            </w:r>
            <w:proofErr w:type="spellStart"/>
            <w:r w:rsidRPr="002562D9">
              <w:rPr>
                <w:rFonts w:cs="Open Sans"/>
                <w:sz w:val="20"/>
                <w:szCs w:val="20"/>
                <w:lang w:val="fr-FR"/>
              </w:rPr>
              <w:t>Dompreh</w:t>
            </w:r>
            <w:proofErr w:type="spellEnd"/>
            <w:r w:rsidRPr="002562D9">
              <w:rPr>
                <w:rFonts w:cs="Open Sans"/>
                <w:sz w:val="20"/>
                <w:szCs w:val="20"/>
                <w:lang w:val="fr-FR"/>
              </w:rPr>
              <w:t xml:space="preserve"> et al</w:t>
            </w:r>
            <w:r w:rsidRPr="00B80342">
              <w:rPr>
                <w:rFonts w:cs="Open Sans"/>
                <w:sz w:val="20"/>
                <w:szCs w:val="20"/>
                <w:lang w:val="fr-FR"/>
              </w:rPr>
              <w:t xml:space="preserve">., </w:t>
            </w:r>
            <w:proofErr w:type="gramStart"/>
            <w:r w:rsidRPr="00B80342">
              <w:rPr>
                <w:rFonts w:cs="Open Sans"/>
                <w:sz w:val="20"/>
                <w:szCs w:val="20"/>
                <w:lang w:val="fr-FR"/>
              </w:rPr>
              <w:t>2021;</w:t>
            </w:r>
            <w:proofErr w:type="gramEnd"/>
          </w:p>
          <w:p w14:paraId="368D0A97" w14:textId="77777777" w:rsidR="00046582" w:rsidRPr="00046582" w:rsidRDefault="00046582" w:rsidP="00B2350B">
            <w:pPr>
              <w:rPr>
                <w:rFonts w:cs="Open Sans"/>
                <w:sz w:val="20"/>
                <w:szCs w:val="20"/>
                <w:lang w:val="nl-NL"/>
              </w:rPr>
            </w:pPr>
            <w:proofErr w:type="spellStart"/>
            <w:r w:rsidRPr="00046582">
              <w:rPr>
                <w:rFonts w:cs="Open Sans"/>
                <w:sz w:val="20"/>
                <w:szCs w:val="20"/>
                <w:lang w:val="nl-NL"/>
              </w:rPr>
              <w:t>Forrer</w:t>
            </w:r>
            <w:proofErr w:type="spellEnd"/>
            <w:r w:rsidRPr="00046582">
              <w:rPr>
                <w:rFonts w:cs="Open Sans"/>
                <w:sz w:val="20"/>
                <w:szCs w:val="20"/>
                <w:lang w:val="nl-NL"/>
              </w:rPr>
              <w:t xml:space="preserve"> and Mo, 2013; </w:t>
            </w:r>
            <w:proofErr w:type="spellStart"/>
            <w:r w:rsidRPr="00046582">
              <w:rPr>
                <w:rFonts w:cs="Open Sans"/>
                <w:sz w:val="20"/>
                <w:szCs w:val="20"/>
                <w:lang w:val="nl-NL"/>
              </w:rPr>
              <w:t>Meemken</w:t>
            </w:r>
            <w:proofErr w:type="spellEnd"/>
            <w:r w:rsidRPr="00046582">
              <w:rPr>
                <w:rFonts w:cs="Open Sans"/>
                <w:sz w:val="20"/>
                <w:szCs w:val="20"/>
                <w:lang w:val="nl-NL"/>
              </w:rPr>
              <w:t xml:space="preserve">, 2021; </w:t>
            </w:r>
            <w:proofErr w:type="spellStart"/>
            <w:r w:rsidRPr="00046582">
              <w:rPr>
                <w:rFonts w:cs="Open Sans"/>
                <w:sz w:val="20"/>
                <w:szCs w:val="20"/>
                <w:lang w:val="nl-NL"/>
              </w:rPr>
              <w:t>Meemken</w:t>
            </w:r>
            <w:proofErr w:type="spellEnd"/>
            <w:r w:rsidRPr="00046582">
              <w:rPr>
                <w:rFonts w:cs="Open Sans"/>
                <w:sz w:val="20"/>
                <w:szCs w:val="20"/>
                <w:lang w:val="nl-NL"/>
              </w:rPr>
              <w:t xml:space="preserve"> et al., 2018; Mook et al., 2018; Morgans et al., 2018; </w:t>
            </w:r>
            <w:proofErr w:type="spellStart"/>
            <w:r w:rsidRPr="00046582">
              <w:rPr>
                <w:rFonts w:cs="Open Sans"/>
                <w:sz w:val="20"/>
                <w:szCs w:val="20"/>
                <w:lang w:val="nl-NL"/>
              </w:rPr>
              <w:t>Oya</w:t>
            </w:r>
            <w:proofErr w:type="spellEnd"/>
            <w:r w:rsidRPr="00046582">
              <w:rPr>
                <w:rFonts w:cs="Open Sans"/>
                <w:sz w:val="20"/>
                <w:szCs w:val="20"/>
                <w:lang w:val="nl-NL"/>
              </w:rPr>
              <w:t xml:space="preserve"> et al., 2018; </w:t>
            </w:r>
            <w:proofErr w:type="spellStart"/>
            <w:r w:rsidRPr="00046582">
              <w:rPr>
                <w:rFonts w:cs="Open Sans"/>
                <w:sz w:val="20"/>
                <w:szCs w:val="20"/>
                <w:lang w:val="nl-NL"/>
              </w:rPr>
              <w:t>Santika</w:t>
            </w:r>
            <w:proofErr w:type="spellEnd"/>
            <w:r w:rsidRPr="00046582">
              <w:rPr>
                <w:rFonts w:cs="Open Sans"/>
                <w:sz w:val="20"/>
                <w:szCs w:val="20"/>
                <w:lang w:val="nl-NL"/>
              </w:rPr>
              <w:t xml:space="preserve"> et al., 2021; </w:t>
            </w:r>
            <w:proofErr w:type="spellStart"/>
            <w:r w:rsidRPr="00046582">
              <w:rPr>
                <w:rFonts w:cs="Open Sans"/>
                <w:sz w:val="20"/>
                <w:szCs w:val="20"/>
                <w:lang w:val="nl-NL"/>
              </w:rPr>
              <w:t>Selfa</w:t>
            </w:r>
            <w:proofErr w:type="spellEnd"/>
            <w:r w:rsidRPr="00046582">
              <w:rPr>
                <w:rFonts w:cs="Open Sans"/>
                <w:sz w:val="20"/>
                <w:szCs w:val="20"/>
                <w:lang w:val="nl-NL"/>
              </w:rPr>
              <w:t xml:space="preserve"> et al., 2014; </w:t>
            </w:r>
            <w:proofErr w:type="spellStart"/>
            <w:r w:rsidRPr="00046582">
              <w:rPr>
                <w:rFonts w:cs="Open Sans"/>
                <w:sz w:val="20"/>
                <w:szCs w:val="20"/>
                <w:lang w:val="nl-NL"/>
              </w:rPr>
              <w:t>Traldi</w:t>
            </w:r>
            <w:proofErr w:type="spellEnd"/>
            <w:r w:rsidRPr="00046582">
              <w:rPr>
                <w:rFonts w:cs="Open Sans"/>
                <w:sz w:val="20"/>
                <w:szCs w:val="20"/>
                <w:lang w:val="nl-NL"/>
              </w:rPr>
              <w:t>, 2021</w:t>
            </w:r>
          </w:p>
        </w:tc>
      </w:tr>
    </w:tbl>
    <w:p w14:paraId="23D30688" w14:textId="77777777" w:rsidR="00A01447" w:rsidRPr="00046582" w:rsidRDefault="00A01447" w:rsidP="006956E5">
      <w:pPr>
        <w:rPr>
          <w:lang w:val="nl-NL"/>
        </w:rPr>
      </w:pPr>
    </w:p>
    <w:p w14:paraId="71AE5277" w14:textId="77777777" w:rsidR="00684C64" w:rsidRDefault="003E7BFC" w:rsidP="00232EF4">
      <w:pPr>
        <w:jc w:val="both"/>
      </w:pPr>
      <w:r w:rsidRPr="004144F1">
        <w:t xml:space="preserve">Figure </w:t>
      </w:r>
      <w:r w:rsidR="004144F1" w:rsidRPr="004144F1">
        <w:t xml:space="preserve">1 shows an overview of </w:t>
      </w:r>
      <w:r w:rsidR="004144F1">
        <w:t>literature coverage o</w:t>
      </w:r>
      <w:r w:rsidR="001E3182">
        <w:t xml:space="preserve">f different </w:t>
      </w:r>
      <w:r w:rsidR="006331FC">
        <w:t xml:space="preserve">combinations of outcome categories, regions, and feedstocks. </w:t>
      </w:r>
      <w:r w:rsidR="00684C64" w:rsidRPr="00684C64">
        <w:t>It is evident that s</w:t>
      </w:r>
      <w:r w:rsidR="007B50D7">
        <w:t>ome of these</w:t>
      </w:r>
      <w:r w:rsidR="00684C64" w:rsidRPr="00684C64">
        <w:t xml:space="preserve"> combinations are covered more than others. Overall, more observations were available for the economic impacts of certification compared to the social ones. Out of the 218 observations collected, 192 were categorised as economic and only 26 as social. For the economic categories, cost, revenue, and income were covered the most, especially for Asia and low-income countries </w:t>
      </w:r>
      <w:proofErr w:type="gramStart"/>
      <w:r w:rsidR="00684C64" w:rsidRPr="00684C64">
        <w:t>In</w:t>
      </w:r>
      <w:proofErr w:type="gramEnd"/>
      <w:r w:rsidR="00684C64" w:rsidRPr="00684C64">
        <w:t xml:space="preserve"> contrast, only few quantitative observations on the impacts of certification on selling prices and market access were found. Regarding the social outcome categories, health, education, and well-being were covered more than the rest.  Particularly few observations represented the impacts of certification on poverty reduction and labour condition. </w:t>
      </w:r>
    </w:p>
    <w:p w14:paraId="479E8EE0" w14:textId="77777777" w:rsidR="008D764E" w:rsidRDefault="008D764E" w:rsidP="00232EF4">
      <w:pPr>
        <w:keepNext/>
        <w:jc w:val="both"/>
      </w:pPr>
      <w:r w:rsidRPr="00D91CE8">
        <w:rPr>
          <w:rFonts w:cs="Open Sans"/>
          <w:noProof/>
          <w:sz w:val="20"/>
          <w:szCs w:val="20"/>
        </w:rPr>
        <w:drawing>
          <wp:inline distT="0" distB="0" distL="0" distR="0" wp14:anchorId="43EB0D41" wp14:editId="2B6856F9">
            <wp:extent cx="5731510" cy="3731895"/>
            <wp:effectExtent l="0" t="0" r="2540" b="1905"/>
            <wp:docPr id="2" name="Picture 2" descr="A screen shot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screen shot of a chart&#10;&#10;Description automatically generated"/>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3731895"/>
                    </a:xfrm>
                    <a:prstGeom prst="rect">
                      <a:avLst/>
                    </a:prstGeom>
                  </pic:spPr>
                </pic:pic>
              </a:graphicData>
            </a:graphic>
          </wp:inline>
        </w:drawing>
      </w:r>
    </w:p>
    <w:p w14:paraId="28DBF3BB" w14:textId="77777777" w:rsidR="001F0F1A" w:rsidRPr="00B12162" w:rsidRDefault="008D764E" w:rsidP="00886ED6">
      <w:pPr>
        <w:pStyle w:val="Caption"/>
      </w:pPr>
      <w:r>
        <w:t xml:space="preserve">Figure </w:t>
      </w:r>
      <w:r>
        <w:fldChar w:fldCharType="begin"/>
      </w:r>
      <w:r>
        <w:instrText xml:space="preserve"> SEQ Figure \* ARABIC </w:instrText>
      </w:r>
      <w:r>
        <w:fldChar w:fldCharType="separate"/>
      </w:r>
      <w:r w:rsidR="005F7B06">
        <w:rPr>
          <w:noProof/>
        </w:rPr>
        <w:t>1</w:t>
      </w:r>
      <w:r>
        <w:rPr>
          <w:noProof/>
        </w:rPr>
        <w:fldChar w:fldCharType="end"/>
      </w:r>
      <w:r>
        <w:t xml:space="preserve">. </w:t>
      </w:r>
      <w:r w:rsidRPr="00B12162">
        <w:t>Overview of number of observations (total observations = 218) collected from literature covering different feedstocks, regions, and outcome categories. For this figure, direct and indirect costs are grouped into “costs” to increase readability. The category “low-income countries” on the x-axis represents studies that mentioned the location being in lower-income regions, without specifying the exact country.</w:t>
      </w:r>
      <w:r w:rsidR="001F0F1A">
        <w:t xml:space="preserve"> </w:t>
      </w:r>
      <w:r w:rsidR="001F0F1A" w:rsidRPr="00B12162">
        <w:t>Similarly, the feedstock category “agricultural products” includes results from studies that did not separate the observations by specific feedstocks. No observations were found for sugarcane and raw cotton.</w:t>
      </w:r>
    </w:p>
    <w:p w14:paraId="192203EF" w14:textId="77777777" w:rsidR="00684C64" w:rsidRPr="00684C64" w:rsidRDefault="00A1768D" w:rsidP="00232EF4">
      <w:pPr>
        <w:jc w:val="both"/>
      </w:pPr>
      <w:r>
        <w:t>Moreover, l</w:t>
      </w:r>
      <w:r w:rsidR="00684C64" w:rsidRPr="00684C64">
        <w:t xml:space="preserve">ower-income regions such as West Africa, East Africa, and Southeast Asia were investigated more than the ones with higher incomes. Europe and North America had few data points and the variety of feedstocks covered was limited. This might be </w:t>
      </w:r>
      <w:r w:rsidR="713DE46D">
        <w:t>because</w:t>
      </w:r>
      <w:r w:rsidR="00684C64" w:rsidRPr="00684C64">
        <w:t xml:space="preserve"> feedstock produced in Europe and North America already need to respect the governmental sustainability requirements for the region, so there is less need for CSLs.  </w:t>
      </w:r>
    </w:p>
    <w:p w14:paraId="48FDA7BD" w14:textId="77777777" w:rsidR="00684C64" w:rsidRPr="00684C64" w:rsidRDefault="00684C64" w:rsidP="00232EF4">
      <w:pPr>
        <w:jc w:val="both"/>
      </w:pPr>
      <w:r w:rsidRPr="00684C64">
        <w:t xml:space="preserve">Regarding the feedstocks, </w:t>
      </w:r>
      <w:r w:rsidR="2677AC92">
        <w:t>most</w:t>
      </w:r>
      <w:r w:rsidRPr="00684C64">
        <w:t xml:space="preserve"> observations collected were on palm oil (122), followed by forest and agricultural products (41 each)</w:t>
      </w:r>
      <w:r w:rsidR="00A1768D">
        <w:t xml:space="preserve">. </w:t>
      </w:r>
      <w:r w:rsidRPr="00684C64">
        <w:t xml:space="preserve">Very few (less than 10) observations were available for soybeans and maize, and no quantitative data were found on sugar cane and raw cotton. The high number of observations for palm oil reflects the high interest in palm oil that was generated in recent years around its sustainability concerns. </w:t>
      </w:r>
    </w:p>
    <w:p w14:paraId="4618D52D" w14:textId="77777777" w:rsidR="00684C64" w:rsidRDefault="72500F20" w:rsidP="00232EF4">
      <w:pPr>
        <w:jc w:val="both"/>
      </w:pPr>
      <w:r>
        <w:t>Most</w:t>
      </w:r>
      <w:r w:rsidR="00684C64" w:rsidRPr="00684C64">
        <w:t xml:space="preserve"> observations focused on the economic outcomes of certification in Asia, with a particular emphasis on Southeast Asia, predominantly associated with palm oil. However, it is worth noting that the number of available observations for each specific combination of feedstock, region and outcome category was quite limited, with less than 30 observations per combination.</w:t>
      </w:r>
    </w:p>
    <w:p w14:paraId="41B6FF2E" w14:textId="77777777" w:rsidR="00355603" w:rsidRDefault="00616C8C" w:rsidP="00232EF4">
      <w:pPr>
        <w:jc w:val="both"/>
      </w:pPr>
      <w:r>
        <w:t>M</w:t>
      </w:r>
      <w:r w:rsidR="00355603">
        <w:t xml:space="preserve">ost studies showed </w:t>
      </w:r>
      <w:r>
        <w:t>that both costs and benefits increase for companies after certification</w:t>
      </w:r>
      <w:r w:rsidR="007E00C6">
        <w:t xml:space="preserve"> (Figure 2)</w:t>
      </w:r>
      <w:r>
        <w:t xml:space="preserve">. </w:t>
      </w:r>
      <w:r w:rsidR="002C5060">
        <w:t>However</w:t>
      </w:r>
      <w:r>
        <w:t xml:space="preserve">, </w:t>
      </w:r>
      <w:r w:rsidR="00866AD8">
        <w:t>the increased benefits often compensate for the increase in costs</w:t>
      </w:r>
      <w:r w:rsidR="007E00C6">
        <w:t>.</w:t>
      </w:r>
    </w:p>
    <w:p w14:paraId="24686DC4" w14:textId="77777777" w:rsidR="00D40797" w:rsidRDefault="00D40797" w:rsidP="00D40797">
      <w:pPr>
        <w:keepNext/>
      </w:pPr>
      <w:r w:rsidRPr="00D91CE8">
        <w:rPr>
          <w:noProof/>
          <w:sz w:val="20"/>
          <w:szCs w:val="20"/>
        </w:rPr>
        <w:drawing>
          <wp:inline distT="0" distB="0" distL="0" distR="0" wp14:anchorId="5CDD588F" wp14:editId="329B5871">
            <wp:extent cx="4675236" cy="3330575"/>
            <wp:effectExtent l="0" t="0" r="0" b="3175"/>
            <wp:docPr id="5" name="Picture 5" descr="A bar chart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ar chart with text&#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685346" cy="3337777"/>
                    </a:xfrm>
                    <a:prstGeom prst="rect">
                      <a:avLst/>
                    </a:prstGeom>
                  </pic:spPr>
                </pic:pic>
              </a:graphicData>
            </a:graphic>
          </wp:inline>
        </w:drawing>
      </w:r>
    </w:p>
    <w:p w14:paraId="5547BAD0" w14:textId="77777777" w:rsidR="0094682E" w:rsidRDefault="00D40797" w:rsidP="00886ED6">
      <w:pPr>
        <w:pStyle w:val="Caption"/>
      </w:pPr>
      <w:r>
        <w:t xml:space="preserve">Figure </w:t>
      </w:r>
      <w:r>
        <w:fldChar w:fldCharType="begin"/>
      </w:r>
      <w:r>
        <w:instrText xml:space="preserve"> SEQ Figure \* ARABIC </w:instrText>
      </w:r>
      <w:r>
        <w:fldChar w:fldCharType="separate"/>
      </w:r>
      <w:r w:rsidR="005F7B06">
        <w:rPr>
          <w:noProof/>
        </w:rPr>
        <w:t>2</w:t>
      </w:r>
      <w:r>
        <w:rPr>
          <w:noProof/>
        </w:rPr>
        <w:fldChar w:fldCharType="end"/>
      </w:r>
      <w:r>
        <w:t xml:space="preserve">. </w:t>
      </w:r>
      <w:r w:rsidR="0094682E" w:rsidRPr="00D91CE8">
        <w:t>Percentage of observations indicating an increase, decrease, or neutral effect on outcome categories after certification. The dotted line indicates the separation between economic categories (top part) and social ones (bottom part). The numbers in brackets indicate the number of observations recorded for each outcome category.</w:t>
      </w:r>
    </w:p>
    <w:p w14:paraId="3BD6A9C2" w14:textId="77777777" w:rsidR="00B87B1A" w:rsidRPr="00B87B1A" w:rsidRDefault="00B87B1A" w:rsidP="00B87B1A">
      <w:pPr>
        <w:jc w:val="both"/>
      </w:pPr>
      <w:r w:rsidRPr="00B87B1A">
        <w:t xml:space="preserve">The increase in benefits is particularly evident for the economic ones. For producers, this happens when better management and production practices lead to increased yields, which, associated with price premiums and improved market access, cause higher income, as indicated in </w:t>
      </w:r>
      <w:proofErr w:type="spellStart"/>
      <w:r w:rsidRPr="00B87B1A">
        <w:t>Brako</w:t>
      </w:r>
      <w:proofErr w:type="spellEnd"/>
      <w:r w:rsidRPr="00B87B1A">
        <w:t xml:space="preserve"> et al. (2021). Additionally, as pointed out by Bok et al. (2022), the costs, especially the indirect ones, tend to decline over time, increasing the economic benefits. The indirect costs consist of expenses needed to meet the sustainability criteria set by a CSL. For this, companies generally face higher upfront investments to get certified, followed by lower maintenance costs to uphold the certificate </w:t>
      </w:r>
      <w:r w:rsidRPr="00B87B1A">
        <w:fldChar w:fldCharType="begin"/>
      </w:r>
      <w:r w:rsidRPr="00B87B1A">
        <w:instrText xml:space="preserve"> ADDIN EN.CITE &lt;EndNote&gt;&lt;Cite&gt;&lt;Author&gt;Hutabarat&lt;/Author&gt;&lt;Year&gt;2018&lt;/Year&gt;&lt;RecNum&gt;11&lt;/RecNum&gt;&lt;DisplayText&gt;(Hutabarat et al., 2018)&lt;/DisplayText&gt;&lt;record&gt;&lt;rec-number&gt;11&lt;/rec-number&gt;&lt;foreign-keys&gt;&lt;key app="EN" db-id="2x2dvezdjre0vke99pw5tzznpdvx9eaxzt5f" timestamp="1676882265" guid="f198925b-4064-473c-800a-28d531c07487"&gt;11&lt;/key&gt;&lt;/foreign-keys&gt;&lt;ref-type name="Journal Article"&gt;17&lt;/ref-type&gt;&lt;contributors&gt;&lt;authors&gt;&lt;author&gt;Hutabarat, Sakti&lt;/author&gt;&lt;author&gt;Slingerland, Maja&lt;/author&gt;&lt;author&gt;Rietberg, Petra&lt;/author&gt;&lt;author&gt;Dries, Liesbeth&lt;/author&gt;&lt;/authors&gt;&lt;/contributors&gt;&lt;titles&gt;&lt;title&gt;Costs and benefits of certification of independent oil palm smallholders in Indonesia&lt;/title&gt;&lt;secondary-title&gt;International Food and Agribusiness Management Review&lt;/secondary-title&gt;&lt;/titles&gt;&lt;periodical&gt;&lt;full-title&gt;International Food and Agribusiness Management Review&lt;/full-title&gt;&lt;/periodical&gt;&lt;pages&gt;681-700&lt;/pages&gt;&lt;volume&gt;21&lt;/volume&gt;&lt;number&gt;6&lt;/number&gt;&lt;keywords&gt;&lt;keyword&gt;Certification&lt;/keyword&gt;&lt;keyword&gt;Costs and benefits&lt;/keyword&gt;&lt;keyword&gt;Indonesia&lt;/keyword&gt;&lt;keyword&gt;Oil palm&lt;/keyword&gt;&lt;keyword&gt;RSPO&lt;/keyword&gt;&lt;keyword&gt;Smallholders&lt;/keyword&gt;&lt;/keywords&gt;&lt;dates&gt;&lt;year&gt;2018&lt;/year&gt;&lt;/dates&gt;&lt;publisher&gt;Wageningen Academic Publishers&lt;/publisher&gt;&lt;urls&gt;&lt;/urls&gt;&lt;electronic-resource-num&gt;10.22434/IFAMR2016.0162&lt;/electronic-resource-num&gt;&lt;/record&gt;&lt;/Cite&gt;&lt;/EndNote&gt;</w:instrText>
      </w:r>
      <w:r w:rsidRPr="00B87B1A">
        <w:fldChar w:fldCharType="separate"/>
      </w:r>
      <w:r w:rsidRPr="00B87B1A">
        <w:t>(Hutabarat et al., 2018)</w:t>
      </w:r>
      <w:r w:rsidRPr="00B87B1A">
        <w:fldChar w:fldCharType="end"/>
      </w:r>
      <w:r w:rsidRPr="00B87B1A">
        <w:t xml:space="preserve">. Also, the extent of indirect costs associated with certification depends on how closely the farm's management and production system aligns with the CSL's requirements before undergoing certification. In cases where the pre-certification practices closely match the CSL's standards, the indirect costs are likely to be lower </w:t>
      </w:r>
      <w:r w:rsidRPr="00B87B1A">
        <w:fldChar w:fldCharType="begin"/>
      </w:r>
      <w:r w:rsidRPr="00B87B1A">
        <w:instrText xml:space="preserve"> ADDIN EN.CITE &lt;EndNote&gt;&lt;Cite&gt;&lt;Author&gt;Hidayat&lt;/Author&gt;&lt;Year&gt;2016&lt;/Year&gt;&lt;RecNum&gt;12&lt;/RecNum&gt;&lt;DisplayText&gt;(Hidayat et al., 2016)&lt;/DisplayText&gt;&lt;record&gt;&lt;rec-number&gt;12&lt;/rec-number&gt;&lt;foreign-keys&gt;&lt;key app="EN" db-id="2x2dvezdjre0vke99pw5tzznpdvx9eaxzt5f" timestamp="1676882265" guid="ace4127a-28f4-4179-9792-63e7d00d747b"&gt;12&lt;/key&gt;&lt;/foreign-keys&gt;&lt;ref-type name="Report"&gt;27&lt;/ref-type&gt;&lt;contributors&gt;&lt;authors&gt;&lt;author&gt;Hidayat, Nia Kurniawati&lt;/author&gt;&lt;author&gt;Offermans, Astrid&lt;/author&gt;&lt;author&gt;Glasbergen, Prof Pieter&lt;/author&gt;&lt;/authors&gt;&lt;/contributors&gt;&lt;titles&gt;&lt;title&gt;On The Profitability of Sustainability Certification: An Analysis among Indonesian Palm Oil Smallholders&lt;/title&gt;&lt;secondary-title&gt;Journal of Economics and Sustainable Development www.iiste.org ISSN&lt;/secondary-title&gt;&lt;/titles&gt;&lt;volume&gt;7&lt;/volume&gt;&lt;keywords&gt;&lt;keyword&gt;Indonesian smallholders&lt;/keyword&gt;&lt;keyword&gt;Profitability&lt;/keyword&gt;&lt;keyword&gt;RSPO&lt;/keyword&gt;&lt;keyword&gt;palm oil&lt;/keyword&gt;&lt;keyword&gt;sustainability certification&lt;/keyword&gt;&lt;/keywords&gt;&lt;dates&gt;&lt;year&gt;2016&lt;/year&gt;&lt;/dates&gt;&lt;publisher&gt;Online&lt;/publisher&gt;&lt;urls&gt;&lt;related-urls&gt;&lt;url&gt;www.iiste.org&lt;/url&gt;&lt;/related-urls&gt;&lt;/urls&gt;&lt;/record&gt;&lt;/Cite&gt;&lt;/EndNote&gt;</w:instrText>
      </w:r>
      <w:r w:rsidRPr="00B87B1A">
        <w:fldChar w:fldCharType="separate"/>
      </w:r>
      <w:r w:rsidRPr="00B87B1A">
        <w:t>(Hidayat et al., 2016)</w:t>
      </w:r>
      <w:r w:rsidRPr="00B87B1A">
        <w:fldChar w:fldCharType="end"/>
      </w:r>
      <w:r w:rsidRPr="00B87B1A">
        <w:t xml:space="preserve">. </w:t>
      </w:r>
    </w:p>
    <w:p w14:paraId="353B5C68" w14:textId="77777777" w:rsidR="00B87B1A" w:rsidRPr="00B87B1A" w:rsidRDefault="00B87B1A" w:rsidP="00B87B1A">
      <w:pPr>
        <w:jc w:val="both"/>
      </w:pPr>
      <w:r w:rsidRPr="00B87B1A">
        <w:t xml:space="preserve">The findings on social benefits were more mixed than the economic ones (Figure 4). Social impacts are generally complex to determine precisely and are often measured in different ways in different studies. For instance, health was measured as exposure to toxic chemicals during production process in </w:t>
      </w:r>
      <w:proofErr w:type="spellStart"/>
      <w:r w:rsidRPr="00B87B1A">
        <w:t>Blockeel</w:t>
      </w:r>
      <w:proofErr w:type="spellEnd"/>
      <w:r w:rsidRPr="00B87B1A">
        <w:t xml:space="preserve"> et al. (2023), child mortality and nutrition in </w:t>
      </w:r>
      <w:proofErr w:type="spellStart"/>
      <w:r w:rsidRPr="00B87B1A">
        <w:t>Brako</w:t>
      </w:r>
      <w:proofErr w:type="spellEnd"/>
      <w:r w:rsidRPr="00B87B1A">
        <w:t xml:space="preserve"> et al. (2021), or number of new health facilities built in villages nearby certified areas in Morgans et al. (2018)</w:t>
      </w:r>
      <w:r w:rsidRPr="00B87B1A">
        <w:fldChar w:fldCharType="begin"/>
      </w:r>
      <w:r w:rsidRPr="00B87B1A">
        <w:instrText xml:space="preserve"> ADDIN EN.CITE &lt;EndNote&gt;&lt;Cite&gt;&lt;Author&gt;Morgans&lt;/Author&gt;&lt;Year&gt;2018&lt;/Year&gt;&lt;RecNum&gt;210&lt;/RecNum&gt;&lt;DisplayText&gt;(Morgans et al., 2018)&lt;/DisplayText&gt;&lt;record&gt;&lt;rec-number&gt;210&lt;/rec-number&gt;&lt;foreign-keys&gt;&lt;key app="EN" db-id="2x2dvezdjre0vke99pw5tzznpdvx9eaxzt5f" timestamp="1679403950" guid="0df621ab-a261-4ada-977b-8916f01711ec"&gt;210&lt;/key&gt;&lt;/foreign-keys&gt;&lt;ref-type name="Journal Article"&gt;17&lt;/ref-type&gt;&lt;contributors&gt;&lt;authors&gt;&lt;author&gt;Morgans, C. L.&lt;/author&gt;&lt;author&gt;Meijaard, E.&lt;/author&gt;&lt;author&gt;Santika, T.&lt;/author&gt;&lt;author&gt;Law, E.&lt;/author&gt;&lt;author&gt;Budiharta, S.&lt;/author&gt;&lt;author&gt;Ancrenaz, M.&lt;/author&gt;&lt;author&gt;Wilson, K. A.&lt;/author&gt;&lt;/authors&gt;&lt;/contributors&gt;&lt;titles&gt;&lt;title&gt;Evaluating the effectiveness of palm oil certification in delivering multiple sustainability objectives&lt;/title&gt;&lt;secondary-title&gt;Environmental Research Letters&lt;/secondary-title&gt;&lt;/titles&gt;&lt;periodical&gt;&lt;full-title&gt;Environmental Research Letters&lt;/full-title&gt;&lt;/periodical&gt;&lt;volume&gt;13&lt;/volume&gt;&lt;number&gt;6&lt;/number&gt;&lt;dates&gt;&lt;year&gt;2018&lt;/year&gt;&lt;pub-dates&gt;&lt;date&gt;Jun&lt;/date&gt;&lt;/pub-dates&gt;&lt;/dates&gt;&lt;isbn&gt;1748-9326&lt;/isbn&gt;&lt;accession-num&gt;WOS:000435136500001&lt;/accession-num&gt;&lt;urls&gt;&lt;related-urls&gt;&lt;url&gt;&amp;lt;Go to ISI&amp;gt;://WOS:000435136500001&lt;/url&gt;&lt;/related-urls&gt;&lt;/urls&gt;&lt;custom7&gt;064032&lt;/custom7&gt;&lt;electronic-resource-num&gt;10.1088/1748-9326/aac6f4&lt;/electronic-resource-num&gt;&lt;/record&gt;&lt;/Cite&gt;&lt;/EndNote&gt;</w:instrText>
      </w:r>
      <w:r w:rsidR="00000000">
        <w:fldChar w:fldCharType="separate"/>
      </w:r>
      <w:r w:rsidRPr="00B87B1A">
        <w:fldChar w:fldCharType="end"/>
      </w:r>
      <w:r w:rsidRPr="00B87B1A">
        <w:t xml:space="preserve">. </w:t>
      </w:r>
    </w:p>
    <w:p w14:paraId="4154CEF5" w14:textId="77777777" w:rsidR="00B87B1A" w:rsidRDefault="00B87B1A" w:rsidP="00B87B1A">
      <w:pPr>
        <w:jc w:val="both"/>
      </w:pPr>
      <w:r w:rsidRPr="00B87B1A">
        <w:t xml:space="preserve">Similarly, education was measured by different indicators, e.g. years of schooling, child school attendance in </w:t>
      </w:r>
      <w:proofErr w:type="spellStart"/>
      <w:r w:rsidRPr="00B87B1A">
        <w:t>Brako</w:t>
      </w:r>
      <w:proofErr w:type="spellEnd"/>
      <w:r w:rsidRPr="00B87B1A">
        <w:t xml:space="preserve"> et al. (2021), and number of education facilities built in the certified area in Lee et al. (2019). All these indicators are important contributors to health and education but, if not consistently measured, make it hard to aggregate and compare the results from different studies. Still, our analysis identified an overall positive impact of certification on health and education. This is probably linked to the increase in farmers income, which might improve the access to healthcare and education for the farmers and their household members. The only negative impact that was found on health in the studies included in our review is in relation to nutrition </w:t>
      </w:r>
      <w:r w:rsidRPr="00B87B1A">
        <w:fldChar w:fldCharType="begin"/>
      </w:r>
      <w:r w:rsidRPr="00B87B1A">
        <w:instrText xml:space="preserve"> ADDIN EN.CITE &lt;EndNote&gt;&lt;Cite&gt;&lt;Author&gt;Brako&lt;/Author&gt;&lt;Year&gt;2021&lt;/Year&gt;&lt;RecNum&gt;208&lt;/RecNum&gt;&lt;DisplayText&gt;(Brako et al., 2021)&lt;/DisplayText&gt;&lt;record&gt;&lt;rec-number&gt;208&lt;/rec-number&gt;&lt;foreign-keys&gt;&lt;key app="EN" db-id="2x2dvezdjre0vke99pw5tzznpdvx9eaxzt5f" timestamp="1679403950" guid="1f1bb2dc-2836-4422-8456-60bfd4d0c98c"&gt;208&lt;/key&gt;&lt;/foreign-keys&gt;&lt;ref-type name="Journal Article"&gt;17&lt;/ref-type&gt;&lt;contributors&gt;&lt;authors&gt;&lt;author&gt;Brako, D. E.&lt;/author&gt;&lt;author&gt;Richard, A.&lt;/author&gt;&lt;author&gt;Alexandros, G.&lt;/author&gt;&lt;/authors&gt;&lt;/contributors&gt;&lt;titles&gt;&lt;title&gt;Do voluntary certification standards improve yields and wellbeing? Evidence from oil palm and cocoa smallholders in Ghana&lt;/title&gt;&lt;secondary-title&gt;International Journal of Agricultural Sustainability&lt;/secondary-title&gt;&lt;/titles&gt;&lt;periodical&gt;&lt;full-title&gt;International Journal of Agricultural Sustainability&lt;/full-title&gt;&lt;/periodical&gt;&lt;pages&gt;16-39&lt;/pages&gt;&lt;volume&gt;19&lt;/volume&gt;&lt;number&gt;1&lt;/number&gt;&lt;dates&gt;&lt;year&gt;2021&lt;/year&gt;&lt;pub-dates&gt;&lt;date&gt;Jan&lt;/date&gt;&lt;/pub-dates&gt;&lt;/dates&gt;&lt;isbn&gt;1473-5903&lt;/isbn&gt;&lt;accession-num&gt;WOS:000561977900001&lt;/accession-num&gt;&lt;urls&gt;&lt;related-urls&gt;&lt;url&gt;&amp;lt;Go to ISI&amp;gt;://WOS:000561977900001&lt;/url&gt;&lt;/related-urls&gt;&lt;/urls&gt;&lt;electronic-resource-num&gt;10.1080/14735903.2020.1807893&lt;/electronic-resource-num&gt;&lt;/record&gt;&lt;/Cite&gt;&lt;/EndNote&gt;</w:instrText>
      </w:r>
      <w:r w:rsidRPr="00B87B1A">
        <w:fldChar w:fldCharType="separate"/>
      </w:r>
      <w:r w:rsidRPr="00B87B1A">
        <w:t>(Brako et al., 2021)</w:t>
      </w:r>
      <w:r w:rsidRPr="00B87B1A">
        <w:fldChar w:fldCharType="end"/>
      </w:r>
      <w:r w:rsidRPr="00B87B1A">
        <w:t xml:space="preserve">; this might happen if certified areas replace areas were food for local use was previously grown. </w:t>
      </w:r>
    </w:p>
    <w:p w14:paraId="6D946A4A" w14:textId="77777777" w:rsidR="00382F1B" w:rsidRPr="00382F1B" w:rsidRDefault="00471487" w:rsidP="00382F1B">
      <w:pPr>
        <w:jc w:val="both"/>
      </w:pPr>
      <w:r>
        <w:t>Findings from literature</w:t>
      </w:r>
      <w:r w:rsidR="003807FC">
        <w:t xml:space="preserve"> also</w:t>
      </w:r>
      <w:r w:rsidR="000D57FB">
        <w:t xml:space="preserve"> reveal </w:t>
      </w:r>
      <w:r w:rsidR="00D53F1F">
        <w:t>th</w:t>
      </w:r>
      <w:r w:rsidR="00C247CA">
        <w:t>at the</w:t>
      </w:r>
      <w:r w:rsidR="00D53F1F">
        <w:t xml:space="preserve"> negative impacts of certification tend to be experienced </w:t>
      </w:r>
      <w:proofErr w:type="spellStart"/>
      <w:r w:rsidR="00D53F1F">
        <w:t>predominantely</w:t>
      </w:r>
      <w:proofErr w:type="spellEnd"/>
      <w:r w:rsidR="00D53F1F">
        <w:t xml:space="preserve"> by </w:t>
      </w:r>
      <w:r w:rsidR="000D57FB">
        <w:t xml:space="preserve">smallholders compared to larger </w:t>
      </w:r>
      <w:r w:rsidR="003807FC">
        <w:t>enterprises and companies located in low-income countries compared to high-income ones</w:t>
      </w:r>
      <w:r w:rsidR="00D53F1F">
        <w:t xml:space="preserve">. </w:t>
      </w:r>
      <w:r w:rsidR="00B152D1">
        <w:t>Multiple factors might contribute to this</w:t>
      </w:r>
      <w:r w:rsidR="00825394">
        <w:t>, including reduced access to financial and legal resources</w:t>
      </w:r>
      <w:r w:rsidR="004C6734">
        <w:t>. These</w:t>
      </w:r>
      <w:r w:rsidR="00ED21B2">
        <w:t xml:space="preserve"> </w:t>
      </w:r>
      <w:r w:rsidR="00702CAE">
        <w:t xml:space="preserve">also </w:t>
      </w:r>
      <w:r w:rsidR="00094251">
        <w:t>constitute a barrier to access certification</w:t>
      </w:r>
      <w:r>
        <w:t xml:space="preserve">. </w:t>
      </w:r>
      <w:r w:rsidR="00382F1B" w:rsidRPr="00382F1B">
        <w:t xml:space="preserve">Some international certification schemes, such as the Forest Stewardship Council (FSC) and the Roundtable for Sustainable Palm Oil (RSPO), offer more tailored solutions for smallholders and are increasing their efforts to involve them in certification programs. However, the certification costs are still too high compared to the income of most smallholder producers. This is also in line with recent findings from </w:t>
      </w:r>
      <w:proofErr w:type="spellStart"/>
      <w:r w:rsidR="00382F1B" w:rsidRPr="00382F1B">
        <w:t>Ayompe</w:t>
      </w:r>
      <w:proofErr w:type="spellEnd"/>
      <w:r w:rsidR="00382F1B" w:rsidRPr="00382F1B">
        <w:t xml:space="preserve"> et al. (2024), stressing the importance of providing external financial support and assistance to smallholders. Although external support is important, it would also be beneficial that CSLs themselves increased their effort to include smallholders, for instance by actively including them in stakeholder consultations for the setting and revision of new standards. In the case of palm oil, </w:t>
      </w:r>
      <w:proofErr w:type="gramStart"/>
      <w:r w:rsidR="00382F1B" w:rsidRPr="00382F1B">
        <w:t>smallholders</w:t>
      </w:r>
      <w:proofErr w:type="gramEnd"/>
      <w:r w:rsidR="00382F1B" w:rsidRPr="00382F1B">
        <w:t xml:space="preserve"> control over 40% of the total production area in Malaysia and Indonesia (RSPO, 2024). Therefore, it is crucial to not only ensure they adopt sustainable practices but also to facilitate their inclusion in certification programs and the economic feasibility of certification for them. </w:t>
      </w:r>
    </w:p>
    <w:p w14:paraId="71BE7830" w14:textId="77777777" w:rsidR="000051C0" w:rsidRPr="00B87B1A" w:rsidRDefault="000051C0" w:rsidP="00B87B1A">
      <w:pPr>
        <w:jc w:val="both"/>
      </w:pPr>
    </w:p>
    <w:p w14:paraId="3315CB70" w14:textId="77777777" w:rsidR="00232EF4" w:rsidRPr="00232EF4" w:rsidRDefault="00232EF4" w:rsidP="00232EF4"/>
    <w:p w14:paraId="662A6738" w14:textId="77777777" w:rsidR="00D40797" w:rsidRDefault="00D40797" w:rsidP="004C0571">
      <w:pPr>
        <w:pStyle w:val="Caption"/>
      </w:pPr>
    </w:p>
    <w:p w14:paraId="03C6BFE4" w14:textId="77777777" w:rsidR="00F629D3" w:rsidRPr="008D764E" w:rsidRDefault="00F629D3">
      <w:r w:rsidRPr="008D764E">
        <w:br w:type="page"/>
      </w:r>
    </w:p>
    <w:p w14:paraId="7ABC3A8F" w14:textId="77777777" w:rsidR="00A01447" w:rsidRPr="008D764E" w:rsidRDefault="00A01447" w:rsidP="006956E5"/>
    <w:p w14:paraId="221F6AA6" w14:textId="77777777" w:rsidR="00684884" w:rsidRPr="00D57F77" w:rsidRDefault="008417E4" w:rsidP="00DD0BFD">
      <w:pPr>
        <w:pStyle w:val="Heading1"/>
      </w:pPr>
      <w:bookmarkStart w:id="28" w:name="_Toc166073782"/>
      <w:r w:rsidRPr="00D57F77">
        <w:t>Conclusions</w:t>
      </w:r>
      <w:bookmarkEnd w:id="28"/>
      <w:r w:rsidRPr="00D57F77">
        <w:t xml:space="preserve"> </w:t>
      </w:r>
    </w:p>
    <w:p w14:paraId="2A4B2EF5" w14:textId="77777777" w:rsidR="008944B8" w:rsidRDefault="00780D9D" w:rsidP="007F5CE2">
      <w:pPr>
        <w:jc w:val="both"/>
      </w:pPr>
      <w:r>
        <w:t xml:space="preserve">This report provides an overview of the approach and key findings from collecting and analyzing </w:t>
      </w:r>
      <w:r w:rsidR="00514DCF">
        <w:t>data on</w:t>
      </w:r>
      <w:r w:rsidR="008944B8">
        <w:t xml:space="preserve"> direct and indirect costs and benefits of certification</w:t>
      </w:r>
      <w:r>
        <w:t>.</w:t>
      </w:r>
      <w:r w:rsidR="0098226C">
        <w:t xml:space="preserve"> It serves as a supplement to the </w:t>
      </w:r>
      <w:r w:rsidR="0098768A">
        <w:t>dataset on direct and indirect costs and benefits of certification</w:t>
      </w:r>
      <w:r w:rsidR="00C571EA">
        <w:t xml:space="preserve">. In drawing conclusions, in the following we described the </w:t>
      </w:r>
      <w:r w:rsidR="00514DCF">
        <w:t>challenges</w:t>
      </w:r>
      <w:r w:rsidR="00C571EA">
        <w:t xml:space="preserve"> of data collection</w:t>
      </w:r>
      <w:r w:rsidR="00F07888">
        <w:t xml:space="preserve"> and next steps</w:t>
      </w:r>
      <w:r w:rsidR="00514DCF">
        <w:t>.</w:t>
      </w:r>
      <w:r>
        <w:t xml:space="preserve"> </w:t>
      </w:r>
      <w:r w:rsidR="00514DCF">
        <w:t xml:space="preserve"> </w:t>
      </w:r>
    </w:p>
    <w:p w14:paraId="21553FE0" w14:textId="77777777" w:rsidR="00FF7E39" w:rsidRDefault="00FF7E39" w:rsidP="007F5CE2">
      <w:pPr>
        <w:jc w:val="both"/>
      </w:pPr>
      <w:r>
        <w:t xml:space="preserve">An early discovery during data collection for </w:t>
      </w:r>
      <w:r w:rsidR="00F07888">
        <w:t>direct costs (</w:t>
      </w:r>
      <w:r>
        <w:t>Task 6.1</w:t>
      </w:r>
      <w:r w:rsidR="00F07888">
        <w:t>)</w:t>
      </w:r>
      <w:r>
        <w:t xml:space="preserve"> was the varied pricing structures employed by different CSLs, posing challenges in comparing cost items across schemes. While it was premature to offer definitive recommendations, there was recognition of the potential to align certification categories to improve the comparability of costs and scheme characteristics on cost item definitions. Since definitive recommendations on the pricing itself are difficult to identify, the findings suggested a potential opportunity to standardize certification categories to enhance the comparability of costs and overall scheme characteristics.</w:t>
      </w:r>
    </w:p>
    <w:p w14:paraId="5E804A2B" w14:textId="77777777" w:rsidR="0022507C" w:rsidRDefault="00FF7E39" w:rsidP="007F5CE2">
      <w:pPr>
        <w:jc w:val="both"/>
      </w:pPr>
      <w:r>
        <w:t>These insights underscored the complexities inherent in analysing certification costs and highlighted the importance of standardising data collection approaches for meaningful comparisons and informed decision-making.</w:t>
      </w:r>
    </w:p>
    <w:p w14:paraId="7AAA2CA2" w14:textId="77777777" w:rsidR="00E333FF" w:rsidRPr="00E333FF" w:rsidRDefault="00FF5E96" w:rsidP="007F5CE2">
      <w:pPr>
        <w:jc w:val="both"/>
      </w:pPr>
      <w:r>
        <w:t>As for the i</w:t>
      </w:r>
      <w:r w:rsidR="00E333FF">
        <w:t>ndirect costs of certification</w:t>
      </w:r>
      <w:r>
        <w:t>, s</w:t>
      </w:r>
      <w:r w:rsidR="00E333FF">
        <w:t>cientific</w:t>
      </w:r>
      <w:r w:rsidR="00E333FF" w:rsidRPr="00E333FF">
        <w:t xml:space="preserve"> literature focuses more on the economic impacts of certification </w:t>
      </w:r>
      <w:r w:rsidR="00E333FF">
        <w:t>compared to</w:t>
      </w:r>
      <w:r w:rsidR="00E333FF" w:rsidRPr="00E333FF">
        <w:t xml:space="preserve"> the social </w:t>
      </w:r>
      <w:r w:rsidR="00E333FF">
        <w:t>ones</w:t>
      </w:r>
      <w:r w:rsidR="00E333FF" w:rsidRPr="00E333FF">
        <w:t xml:space="preserve">, particularly for feedstock producers. Certification typically has positive effects on certified farms or companies, even though it often leads to higher costs. </w:t>
      </w:r>
      <w:r w:rsidR="00E333FF">
        <w:t>There</w:t>
      </w:r>
      <w:r w:rsidR="00E333FF" w:rsidRPr="00E333FF">
        <w:t xml:space="preserve"> is a lack of research on how certification affects market access and price premiums, which are key drivers for certification. While certification generally increases profits, some entities, especially smallholders and businesses in low-income countries, experience no or negative impacts due to high costs and challenges in meeting certification requirements.</w:t>
      </w:r>
    </w:p>
    <w:p w14:paraId="6D7F3AF6" w14:textId="77777777" w:rsidR="00E333FF" w:rsidRPr="00E333FF" w:rsidRDefault="00E333FF" w:rsidP="007F5CE2">
      <w:pPr>
        <w:jc w:val="both"/>
      </w:pPr>
      <w:r w:rsidRPr="00E333FF">
        <w:t>Smallholders face additional obstacles, such as obtaining legal documents and implementing better management practices.</w:t>
      </w:r>
      <w:r>
        <w:t xml:space="preserve"> These obstacles lead to increased upfront costs and can </w:t>
      </w:r>
      <w:r w:rsidR="00777769">
        <w:t>discourage smallholders from participating in certification programmes.</w:t>
      </w:r>
      <w:r w:rsidRPr="00E333FF">
        <w:t xml:space="preserve"> In low-income countries, complex ecosystems also raise management costs. The social impacts of certification, such as </w:t>
      </w:r>
      <w:proofErr w:type="spellStart"/>
      <w:r w:rsidRPr="00E333FF">
        <w:t>labor</w:t>
      </w:r>
      <w:proofErr w:type="spellEnd"/>
      <w:r w:rsidRPr="00E333FF">
        <w:t xml:space="preserve"> conditions and access to healthcare and education, are more mixed and less studied across the supply chain. Moreover, different studies measure social impacts in varying ways, making comparisons difficult.</w:t>
      </w:r>
    </w:p>
    <w:p w14:paraId="4505CFCD" w14:textId="77777777" w:rsidR="00E333FF" w:rsidRPr="00E333FF" w:rsidRDefault="00E333FF" w:rsidP="007F5CE2">
      <w:pPr>
        <w:jc w:val="both"/>
      </w:pPr>
      <w:r w:rsidRPr="00E333FF">
        <w:t xml:space="preserve">To support smallholders, financial assistance from external organizations and governments is essential. Certification scheme owners should provide tailored solutions for smallholders' challenges. </w:t>
      </w:r>
      <w:r w:rsidR="000621D0" w:rsidRPr="0047531F">
        <w:t>European</w:t>
      </w:r>
      <w:r w:rsidR="0047531F">
        <w:t xml:space="preserve"> p</w:t>
      </w:r>
      <w:r w:rsidR="000621D0" w:rsidRPr="00E333FF">
        <w:t>olicy</w:t>
      </w:r>
      <w:r w:rsidR="000621D0">
        <w:t xml:space="preserve"> defining the role of certification in the bioeconomy and its detailed requirements for certification needs to consider </w:t>
      </w:r>
      <w:r w:rsidR="000621D0" w:rsidRPr="00E333FF">
        <w:t>mitigat</w:t>
      </w:r>
      <w:r w:rsidR="000621D0">
        <w:t>ing</w:t>
      </w:r>
      <w:r w:rsidR="000621D0" w:rsidRPr="00E333FF">
        <w:t xml:space="preserve"> negative impacts on smallholders and adapt to different contexts to protect local communities.</w:t>
      </w:r>
      <w:r w:rsidRPr="00E333FF">
        <w:t xml:space="preserve"> Future policies </w:t>
      </w:r>
      <w:r w:rsidR="008C01D1">
        <w:t>need to</w:t>
      </w:r>
      <w:r w:rsidRPr="00E333FF">
        <w:t xml:space="preserve"> also give more attention to social sustainability, as current regulations focus mainly on environmental and economic aspects, neglecting social indicators.</w:t>
      </w:r>
      <w:r w:rsidR="000621D0">
        <w:t xml:space="preserve"> </w:t>
      </w:r>
    </w:p>
    <w:p w14:paraId="0B01BCA0" w14:textId="77777777" w:rsidR="00A90545" w:rsidRDefault="00A90545" w:rsidP="00A90545">
      <w:pPr>
        <w:jc w:val="both"/>
      </w:pPr>
      <w:r>
        <w:t>Overall, additional research should be conducted on the direct and indirect costs and benefits of certification, and the data should be collected and analysed in a more harmonised way across different studies.</w:t>
      </w:r>
      <w:r w:rsidR="004E6C56">
        <w:t xml:space="preserve"> Key aspects to harmonise are the variables used to measure the impacts of certification, as currently they are measured in different ways in different studies. For instance, the impact of certification on </w:t>
      </w:r>
      <w:r w:rsidR="004E6C56" w:rsidRPr="00CF7AEA">
        <w:t>education was measured by different indicators, e.g. years of schooling, child school attendance</w:t>
      </w:r>
      <w:r w:rsidR="004E6C56">
        <w:t xml:space="preserve">, and </w:t>
      </w:r>
      <w:r w:rsidR="004E6C56" w:rsidRPr="00CF7AEA">
        <w:t xml:space="preserve">number of education facilities built in the certified </w:t>
      </w:r>
      <w:r w:rsidR="004E6C56">
        <w:t>area.</w:t>
      </w:r>
      <w:r w:rsidR="004E6C56" w:rsidRPr="00CF7AEA">
        <w:t xml:space="preserve"> </w:t>
      </w:r>
      <w:r w:rsidR="004E6C56">
        <w:t xml:space="preserve">Increased harmonisation would </w:t>
      </w:r>
      <w:r>
        <w:t xml:space="preserve">facilitate comparisons and allow to draw broader conclusions on the overall profitability of </w:t>
      </w:r>
      <w:proofErr w:type="spellStart"/>
      <w:r>
        <w:t>sustainabiltiy</w:t>
      </w:r>
      <w:proofErr w:type="spellEnd"/>
      <w:r>
        <w:t xml:space="preserve"> certification and the implications for entities in different contexts. </w:t>
      </w:r>
    </w:p>
    <w:p w14:paraId="5CADEEBC" w14:textId="77777777" w:rsidR="008417E4" w:rsidRDefault="008417E4">
      <w:r>
        <w:br w:type="page"/>
      </w:r>
    </w:p>
    <w:p w14:paraId="17AC8D5F" w14:textId="77777777" w:rsidR="00FF1D05" w:rsidRDefault="00FF1D05" w:rsidP="00DD0BFD">
      <w:pPr>
        <w:pStyle w:val="Heading1"/>
      </w:pPr>
      <w:bookmarkStart w:id="29" w:name="_Toc166073783"/>
      <w:r>
        <w:t>Acknowledgements</w:t>
      </w:r>
    </w:p>
    <w:p w14:paraId="51B83EA4" w14:textId="77777777" w:rsidR="00371634" w:rsidRPr="00371634" w:rsidRDefault="00371634" w:rsidP="00371634"/>
    <w:p w14:paraId="2447FE35" w14:textId="77777777" w:rsidR="00FF1D05" w:rsidRDefault="00FF1D05" w:rsidP="00020740">
      <w:pPr>
        <w:jc w:val="both"/>
      </w:pPr>
      <w:r>
        <w:t xml:space="preserve">We acknowledge the </w:t>
      </w:r>
      <w:r w:rsidR="00371634">
        <w:t xml:space="preserve">fruitful </w:t>
      </w:r>
      <w:r>
        <w:t>collaboration with the two sister projects STAR4BBS and SUSTCert4Biobased</w:t>
      </w:r>
      <w:r w:rsidR="006E40F5">
        <w:t>. This collaboration entailed regular sister project meetings</w:t>
      </w:r>
      <w:r w:rsidR="00C649D7">
        <w:t xml:space="preserve"> with discussions on the approach </w:t>
      </w:r>
      <w:r w:rsidR="000E6482">
        <w:t xml:space="preserve">to data collection and analysis </w:t>
      </w:r>
      <w:r w:rsidR="00C649D7">
        <w:t>taken here and in the other projects</w:t>
      </w:r>
      <w:r w:rsidR="006E40F5">
        <w:t xml:space="preserve">, </w:t>
      </w:r>
      <w:r w:rsidR="00F454F1">
        <w:t xml:space="preserve">a bilateral meeting with SUSTCert4Biobased, exchange of literature as well as </w:t>
      </w:r>
      <w:r w:rsidR="00863147">
        <w:t>sharing of deliverables. This allowed learning from each other</w:t>
      </w:r>
      <w:r w:rsidR="00020740">
        <w:t xml:space="preserve"> and data exchange. </w:t>
      </w:r>
    </w:p>
    <w:p w14:paraId="78F00EEB" w14:textId="77777777" w:rsidR="00020740" w:rsidRDefault="00020740" w:rsidP="00FF1D05"/>
    <w:p w14:paraId="2C793B24" w14:textId="77777777" w:rsidR="00371634" w:rsidRPr="00FF1D05" w:rsidRDefault="00371634" w:rsidP="00FF1D05"/>
    <w:p w14:paraId="41DEB1F7" w14:textId="77777777" w:rsidR="008417E4" w:rsidRPr="00D57F77" w:rsidRDefault="008417E4" w:rsidP="00DD0BFD">
      <w:pPr>
        <w:pStyle w:val="Heading1"/>
      </w:pPr>
      <w:r w:rsidRPr="00D57F77">
        <w:t>References</w:t>
      </w:r>
      <w:bookmarkEnd w:id="29"/>
      <w:r w:rsidRPr="00D57F77">
        <w:t xml:space="preserve"> </w:t>
      </w:r>
    </w:p>
    <w:p w14:paraId="175E1B10" w14:textId="77777777" w:rsidR="00B777A8" w:rsidRPr="007F5CE2" w:rsidRDefault="00B777A8" w:rsidP="00371634">
      <w:pPr>
        <w:pStyle w:val="EndNoteBibliography"/>
        <w:rPr>
          <w:rFonts w:ascii="Arial" w:hAnsi="Arial" w:cs="Arial"/>
          <w:lang w:val="en-GB"/>
        </w:rPr>
      </w:pPr>
      <w:r w:rsidRPr="007F5CE2">
        <w:rPr>
          <w:rFonts w:ascii="Arial" w:hAnsi="Arial" w:cs="Arial"/>
          <w:lang w:val="en-GB"/>
        </w:rPr>
        <w:fldChar w:fldCharType="begin"/>
      </w:r>
      <w:r w:rsidRPr="007F5CE2">
        <w:rPr>
          <w:rFonts w:ascii="Arial" w:hAnsi="Arial" w:cs="Arial"/>
          <w:lang w:val="es-ES"/>
        </w:rPr>
        <w:instrText xml:space="preserve"> ADDIN EN.REFLIST </w:instrText>
      </w:r>
      <w:r w:rsidRPr="007F5CE2">
        <w:rPr>
          <w:rFonts w:ascii="Arial" w:hAnsi="Arial" w:cs="Arial"/>
          <w:lang w:val="en-GB"/>
        </w:rPr>
        <w:fldChar w:fldCharType="separate"/>
      </w:r>
    </w:p>
    <w:p w14:paraId="1040EF7C" w14:textId="77777777" w:rsidR="00B777A8" w:rsidRPr="007F5CE2" w:rsidRDefault="00B777A8" w:rsidP="00886ED6">
      <w:pPr>
        <w:pStyle w:val="EndNoteBibliography"/>
        <w:spacing w:after="0"/>
        <w:ind w:left="720" w:hanging="720"/>
        <w:jc w:val="both"/>
        <w:rPr>
          <w:rFonts w:ascii="Arial" w:hAnsi="Arial" w:cs="Arial"/>
          <w:lang w:val="en-GB"/>
        </w:rPr>
      </w:pPr>
      <w:r w:rsidRPr="007F5CE2">
        <w:rPr>
          <w:rFonts w:ascii="Arial" w:hAnsi="Arial" w:cs="Arial"/>
          <w:lang w:val="en-GB"/>
        </w:rPr>
        <w:tab/>
      </w:r>
    </w:p>
    <w:p w14:paraId="26302424"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Aisyah, D. D., Irham, &amp; Mulyo, J. H. (2021). How does willingness and ability to pay of palm oil smallholders affect their willingness to participate in Indonesian sustainable palm oil certification? Empirical evidence from North Sumatra. </w:t>
      </w:r>
      <w:r w:rsidRPr="007F5CE2">
        <w:rPr>
          <w:rFonts w:ascii="Arial" w:hAnsi="Arial" w:cs="Arial"/>
          <w:i/>
          <w:lang w:val="en-GB"/>
        </w:rPr>
        <w:t>Open Agriculture, 6</w:t>
      </w:r>
      <w:r w:rsidRPr="007F5CE2">
        <w:rPr>
          <w:rFonts w:ascii="Arial" w:hAnsi="Arial" w:cs="Arial"/>
          <w:lang w:val="en-GB"/>
        </w:rPr>
        <w:t>(1), 369-381.</w:t>
      </w:r>
    </w:p>
    <w:p w14:paraId="1FE7467B" w14:textId="77777777" w:rsidR="004E6C56" w:rsidRDefault="00B777A8" w:rsidP="004E6C56">
      <w:pPr>
        <w:pStyle w:val="EndNoteBibliography"/>
        <w:spacing w:after="0"/>
        <w:ind w:left="720" w:hanging="720"/>
        <w:jc w:val="both"/>
        <w:rPr>
          <w:rFonts w:ascii="Arial" w:hAnsi="Arial" w:cs="Arial"/>
          <w:lang w:val="en-GB"/>
        </w:rPr>
      </w:pPr>
      <w:r w:rsidRPr="009A1C10">
        <w:rPr>
          <w:rFonts w:ascii="Arial" w:hAnsi="Arial" w:cs="Arial"/>
          <w:lang w:val="en-GB"/>
        </w:rPr>
        <w:t xml:space="preserve">Ayompe, L. M., Schaafsma, M., &amp; Egoh, B. N. (2021). </w:t>
      </w:r>
      <w:r w:rsidRPr="007F5CE2">
        <w:rPr>
          <w:rFonts w:ascii="Arial" w:hAnsi="Arial" w:cs="Arial"/>
          <w:lang w:val="en-GB"/>
        </w:rPr>
        <w:t xml:space="preserve">Towards sustainable palm oil production: The positive and negative impacts on ecosystem services and human wellbeing. </w:t>
      </w:r>
      <w:r w:rsidRPr="007F5CE2">
        <w:rPr>
          <w:rFonts w:ascii="Arial" w:hAnsi="Arial" w:cs="Arial"/>
          <w:i/>
          <w:lang w:val="en-GB"/>
        </w:rPr>
        <w:t>Journal of Cleaner Production, 278</w:t>
      </w:r>
      <w:r w:rsidRPr="007F5CE2">
        <w:rPr>
          <w:rFonts w:ascii="Arial" w:hAnsi="Arial" w:cs="Arial"/>
          <w:lang w:val="en-GB"/>
        </w:rPr>
        <w:t>.</w:t>
      </w:r>
    </w:p>
    <w:p w14:paraId="0687A884" w14:textId="77777777" w:rsidR="004E6C56" w:rsidRDefault="004E6C56" w:rsidP="004E6C56">
      <w:pPr>
        <w:pStyle w:val="EndNoteBibliography"/>
        <w:spacing w:after="0"/>
        <w:ind w:left="720" w:hanging="720"/>
        <w:jc w:val="both"/>
        <w:rPr>
          <w:rFonts w:ascii="Arial" w:hAnsi="Arial" w:cs="Arial"/>
          <w:lang w:val="en-GB"/>
        </w:rPr>
      </w:pPr>
    </w:p>
    <w:p w14:paraId="1D587C8A"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Ayompe, L. M., Nkongho, R. N., Wandum, L. M., Orang, B. O., Fiaboe, K. K. M., Tambasi, E. E., Kettunen, M., &amp; Egoh, B. N. (2024). Complexities of sustainable palm oil production by smallholders in sub-Saharan Africa. </w:t>
      </w:r>
      <w:r w:rsidRPr="007F5CE2">
        <w:rPr>
          <w:rFonts w:ascii="Arial" w:hAnsi="Arial" w:cs="Arial"/>
          <w:i/>
          <w:iCs/>
        </w:rPr>
        <w:t>Sustainable Development</w:t>
      </w:r>
      <w:r w:rsidRPr="007F5CE2">
        <w:rPr>
          <w:rFonts w:ascii="Arial" w:hAnsi="Arial" w:cs="Arial"/>
        </w:rPr>
        <w:t>, 32(1), 529–541. </w:t>
      </w:r>
    </w:p>
    <w:p w14:paraId="66AE7087" w14:textId="77777777" w:rsidR="00B777A8" w:rsidRPr="007F5CE2" w:rsidRDefault="00B777A8" w:rsidP="004E6C56">
      <w:pPr>
        <w:pStyle w:val="EndNoteBibliography"/>
        <w:ind w:left="720" w:hanging="720"/>
        <w:jc w:val="both"/>
        <w:rPr>
          <w:rFonts w:ascii="Arial" w:hAnsi="Arial" w:cs="Arial"/>
          <w:lang w:val="en-GB"/>
        </w:rPr>
      </w:pPr>
      <w:r w:rsidRPr="009A1C10">
        <w:rPr>
          <w:rFonts w:ascii="Arial" w:hAnsi="Arial" w:cs="Arial"/>
          <w:lang w:val="en-GB"/>
        </w:rPr>
        <w:t xml:space="preserve">Blockeel, J., Schader, C., Heidenreich, A., Grovermann, C., Kadzere, I., Egyir, I. S., et al. </w:t>
      </w:r>
      <w:r w:rsidRPr="007F5CE2">
        <w:rPr>
          <w:rFonts w:ascii="Arial" w:hAnsi="Arial" w:cs="Arial"/>
          <w:lang w:val="en-GB"/>
        </w:rPr>
        <w:t xml:space="preserve">(2023). Do organic farming initiatives in Sub-Saharan Africa improve the sustainability of smallholder farmers? Evidence from five case studies in Ghana and Kenya. </w:t>
      </w:r>
      <w:r w:rsidRPr="007F5CE2">
        <w:rPr>
          <w:rFonts w:ascii="Arial" w:hAnsi="Arial" w:cs="Arial"/>
          <w:i/>
          <w:lang w:val="en-GB"/>
        </w:rPr>
        <w:t>Journal of Rural Studies, 98</w:t>
      </w:r>
      <w:r w:rsidRPr="007F5CE2">
        <w:rPr>
          <w:rFonts w:ascii="Arial" w:hAnsi="Arial" w:cs="Arial"/>
          <w:lang w:val="en-GB"/>
        </w:rPr>
        <w:t>, 34-58.</w:t>
      </w:r>
    </w:p>
    <w:p w14:paraId="4D1FE64D" w14:textId="77777777" w:rsidR="004E6C56"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Bok, C. H., Lim, C. H., Ngan, S. L., How, B. S., Ng, W. P. Q., &amp; Lam, H. L. (2022). Life cycle assessment and life cycle costing analysis for uncertified and Malaysia sustainable palm oil- MSPO-certified independent smallholders. </w:t>
      </w:r>
      <w:r w:rsidRPr="007F5CE2">
        <w:rPr>
          <w:rFonts w:ascii="Arial" w:hAnsi="Arial" w:cs="Arial"/>
          <w:i/>
          <w:lang w:val="en-GB"/>
        </w:rPr>
        <w:t>Journal of Cleaner Production, 379</w:t>
      </w:r>
      <w:r w:rsidRPr="007F5CE2">
        <w:rPr>
          <w:rFonts w:ascii="Arial" w:hAnsi="Arial" w:cs="Arial"/>
          <w:lang w:val="en-GB"/>
        </w:rPr>
        <w:t>.</w:t>
      </w:r>
    </w:p>
    <w:p w14:paraId="5BD2EA18"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Brako, D. E., Richard, A., &amp; Alexandros, G. (2021). Do voluntary certification standards improve yields and wellbeing? Evidence from oil palm and cocoa smallholders in Ghana. </w:t>
      </w:r>
      <w:r w:rsidRPr="007F5CE2">
        <w:rPr>
          <w:rFonts w:ascii="Arial" w:hAnsi="Arial" w:cs="Arial"/>
          <w:i/>
          <w:lang w:val="en-GB"/>
        </w:rPr>
        <w:t>International Journal of Agricultural Sustainability, 19</w:t>
      </w:r>
      <w:r w:rsidRPr="007F5CE2">
        <w:rPr>
          <w:rFonts w:ascii="Arial" w:hAnsi="Arial" w:cs="Arial"/>
          <w:lang w:val="en-GB"/>
        </w:rPr>
        <w:t>(1), 16-39.</w:t>
      </w:r>
    </w:p>
    <w:p w14:paraId="456B778E"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it-IT"/>
        </w:rPr>
        <w:t xml:space="preserve">Burivalova, Z., Hua, F., Koh, L. P., Garcia, C., &amp; Putz, F. (2017). </w:t>
      </w:r>
      <w:r w:rsidRPr="007F5CE2">
        <w:rPr>
          <w:rFonts w:ascii="Arial" w:hAnsi="Arial" w:cs="Arial"/>
          <w:lang w:val="en-GB"/>
        </w:rPr>
        <w:t xml:space="preserve">A Critical Comparison of Conventional, Certified, and Community Management of Tropical Forests for Timber in Terms of Environmental, Economic, and Social Variables, </w:t>
      </w:r>
      <w:r w:rsidRPr="007F5CE2">
        <w:rPr>
          <w:rFonts w:ascii="Arial" w:hAnsi="Arial" w:cs="Arial"/>
          <w:i/>
          <w:lang w:val="en-GB"/>
        </w:rPr>
        <w:t>Conservation Letters</w:t>
      </w:r>
      <w:r w:rsidRPr="007F5CE2">
        <w:rPr>
          <w:rFonts w:ascii="Arial" w:hAnsi="Arial" w:cs="Arial"/>
          <w:lang w:val="en-GB"/>
        </w:rPr>
        <w:t xml:space="preserve"> (Vol. 10, pp. 4-14): Wiley-Blackwell.</w:t>
      </w:r>
    </w:p>
    <w:p w14:paraId="46D65E73"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Camilleri, M. A. (2022). The rationale for ISO 14001 certification: A systematic review and a cost–benefit analysis. </w:t>
      </w:r>
      <w:r w:rsidRPr="007F5CE2">
        <w:rPr>
          <w:rFonts w:ascii="Arial" w:hAnsi="Arial" w:cs="Arial"/>
          <w:i/>
          <w:lang w:val="en-GB"/>
        </w:rPr>
        <w:t>Corporate Social Responsibility and Environmental Management, 29</w:t>
      </w:r>
      <w:r w:rsidRPr="007F5CE2">
        <w:rPr>
          <w:rFonts w:ascii="Arial" w:hAnsi="Arial" w:cs="Arial"/>
          <w:lang w:val="en-GB"/>
        </w:rPr>
        <w:t>(4), 1067-1083.</w:t>
      </w:r>
    </w:p>
    <w:p w14:paraId="28F22FC8" w14:textId="77777777" w:rsidR="00B777A8" w:rsidRPr="007F5CE2" w:rsidRDefault="00B777A8" w:rsidP="004E6C56">
      <w:pPr>
        <w:pStyle w:val="EndNoteBibliography"/>
        <w:spacing w:after="0"/>
        <w:ind w:left="720" w:hanging="720"/>
        <w:jc w:val="both"/>
        <w:rPr>
          <w:rFonts w:ascii="Arial" w:hAnsi="Arial" w:cs="Arial"/>
          <w:lang w:val="en-GB"/>
        </w:rPr>
      </w:pPr>
    </w:p>
    <w:p w14:paraId="6E1FC280"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Chalil, D., &amp; Barus, R. (2020). </w:t>
      </w:r>
      <w:r w:rsidRPr="007F5CE2">
        <w:rPr>
          <w:rFonts w:ascii="Arial" w:hAnsi="Arial" w:cs="Arial"/>
          <w:i/>
          <w:lang w:val="en-GB"/>
        </w:rPr>
        <w:t>Is certification an effective tool to improve smallholdings' performance?</w:t>
      </w:r>
      <w:r w:rsidRPr="007F5CE2">
        <w:rPr>
          <w:rFonts w:ascii="Arial" w:hAnsi="Arial" w:cs="Arial"/>
          <w:lang w:val="en-GB"/>
        </w:rPr>
        <w:t xml:space="preserve"> Paper presented at the E3S Web of Conferences. </w:t>
      </w:r>
    </w:p>
    <w:p w14:paraId="5375A734" w14:textId="77777777" w:rsidR="00B777A8" w:rsidRDefault="00B777A8" w:rsidP="004E6C56">
      <w:pPr>
        <w:pStyle w:val="EndNoteBibliography"/>
        <w:spacing w:after="0"/>
        <w:ind w:left="720" w:hanging="720"/>
        <w:jc w:val="both"/>
        <w:rPr>
          <w:rFonts w:ascii="Arial" w:hAnsi="Arial" w:cs="Arial"/>
          <w:lang w:val="en-GB"/>
        </w:rPr>
      </w:pPr>
      <w:r w:rsidRPr="009A1C10">
        <w:rPr>
          <w:rFonts w:ascii="Arial" w:hAnsi="Arial" w:cs="Arial"/>
          <w:lang w:val="en-GB"/>
        </w:rPr>
        <w:t xml:space="preserve">Chen, J., Innes, J. L., &amp; Tikina, A. (2010). </w:t>
      </w:r>
      <w:r w:rsidRPr="007F5CE2">
        <w:rPr>
          <w:rFonts w:ascii="Arial" w:hAnsi="Arial" w:cs="Arial"/>
          <w:lang w:val="en-GB"/>
        </w:rPr>
        <w:t xml:space="preserve">Private cost-benefits of voluntary forest product certification. </w:t>
      </w:r>
      <w:r w:rsidRPr="007F5CE2">
        <w:rPr>
          <w:rFonts w:ascii="Arial" w:hAnsi="Arial" w:cs="Arial"/>
          <w:i/>
          <w:iCs/>
          <w:lang w:val="en-GB"/>
        </w:rPr>
        <w:t>The International Forestry Review</w:t>
      </w:r>
      <w:r w:rsidRPr="007F5CE2">
        <w:rPr>
          <w:rFonts w:ascii="Arial" w:hAnsi="Arial" w:cs="Arial"/>
          <w:lang w:val="en-GB"/>
        </w:rPr>
        <w:t xml:space="preserve">, </w:t>
      </w:r>
      <w:r w:rsidRPr="007F5CE2">
        <w:rPr>
          <w:rFonts w:ascii="Arial" w:hAnsi="Arial" w:cs="Arial"/>
          <w:i/>
          <w:iCs/>
          <w:lang w:val="en-GB"/>
        </w:rPr>
        <w:t>12</w:t>
      </w:r>
      <w:r w:rsidRPr="007F5CE2">
        <w:rPr>
          <w:rFonts w:ascii="Arial" w:hAnsi="Arial" w:cs="Arial"/>
          <w:lang w:val="en-GB"/>
        </w:rPr>
        <w:t>(1), 1–12. http://www.jstor.org/stable/24309850</w:t>
      </w:r>
    </w:p>
    <w:p w14:paraId="639C55B9" w14:textId="77777777" w:rsidR="004E6C56" w:rsidRPr="007F5CE2" w:rsidRDefault="004E6C56" w:rsidP="004E6C56">
      <w:pPr>
        <w:pStyle w:val="EndNoteBibliography"/>
        <w:spacing w:after="0"/>
        <w:ind w:left="720" w:hanging="720"/>
        <w:jc w:val="both"/>
        <w:rPr>
          <w:rFonts w:ascii="Arial" w:hAnsi="Arial" w:cs="Arial"/>
          <w:lang w:val="en-GB"/>
        </w:rPr>
      </w:pPr>
    </w:p>
    <w:p w14:paraId="7F918041"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Cox, W. J., Hanchar, J. J., &amp; Cherney, J. (2018). Agronomic and Economic Performance of Maize, Soybean, and Wheat in Different Rotations during the Transition to an Organic Cropping System. </w:t>
      </w:r>
      <w:r w:rsidRPr="007F5CE2">
        <w:rPr>
          <w:rFonts w:ascii="Arial" w:hAnsi="Arial" w:cs="Arial"/>
          <w:i/>
          <w:iCs/>
          <w:lang w:val="en-GB"/>
        </w:rPr>
        <w:t>Agronomy-Basel, 8</w:t>
      </w:r>
      <w:r w:rsidRPr="007F5CE2">
        <w:rPr>
          <w:rFonts w:ascii="Arial" w:hAnsi="Arial" w:cs="Arial"/>
          <w:lang w:val="en-GB"/>
        </w:rPr>
        <w:t>(9).</w:t>
      </w:r>
    </w:p>
    <w:p w14:paraId="0BF24CF4"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Cubbage, F., Diaz, D., Yapura, P., &amp; Dube, F. (2010). Impacts of forest management certification in Argentina and Chile. </w:t>
      </w:r>
      <w:r w:rsidRPr="007F5CE2">
        <w:rPr>
          <w:rFonts w:ascii="Arial" w:hAnsi="Arial" w:cs="Arial"/>
          <w:i/>
          <w:lang w:val="en-GB"/>
        </w:rPr>
        <w:t>Forest Policy and Economics, 12</w:t>
      </w:r>
      <w:r w:rsidRPr="007F5CE2">
        <w:rPr>
          <w:rFonts w:ascii="Arial" w:hAnsi="Arial" w:cs="Arial"/>
          <w:lang w:val="en-GB"/>
        </w:rPr>
        <w:t>(7), 497-504.</w:t>
      </w:r>
    </w:p>
    <w:p w14:paraId="697EF28C"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Dompreh, E. B., Asare, R., &amp; Gasparatos, A. (2021). Sustainable but hungry? Food security outcomes of certification for cocoa and oil palm smallholders in Ghana. [Article]. </w:t>
      </w:r>
      <w:r w:rsidRPr="007F5CE2">
        <w:rPr>
          <w:rFonts w:ascii="Arial" w:hAnsi="Arial" w:cs="Arial"/>
          <w:i/>
          <w:iCs/>
          <w:lang w:val="en-GB"/>
        </w:rPr>
        <w:t>Environmental Research Letters, 16</w:t>
      </w:r>
      <w:r w:rsidRPr="007F5CE2">
        <w:rPr>
          <w:rFonts w:ascii="Arial" w:hAnsi="Arial" w:cs="Arial"/>
          <w:lang w:val="en-GB"/>
        </w:rPr>
        <w:t>(5).</w:t>
      </w:r>
    </w:p>
    <w:p w14:paraId="462BD0C2"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Durst, P. B., McKenzie, P. J., Brown, C. L., &amp; Appanah, S. (2006). Challenges facing certification and eco-labelling of forest products in developing countries. </w:t>
      </w:r>
      <w:r w:rsidRPr="007F5CE2">
        <w:rPr>
          <w:rFonts w:ascii="Arial" w:hAnsi="Arial" w:cs="Arial"/>
          <w:i/>
          <w:lang w:val="en-GB"/>
        </w:rPr>
        <w:t>International Forestry Review, 8</w:t>
      </w:r>
      <w:r w:rsidRPr="007F5CE2">
        <w:rPr>
          <w:rFonts w:ascii="Arial" w:hAnsi="Arial" w:cs="Arial"/>
          <w:lang w:val="en-GB"/>
        </w:rPr>
        <w:t>(2), 193-200.</w:t>
      </w:r>
    </w:p>
    <w:p w14:paraId="19F46B89"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Edwards, D. P., &amp; Laurance, S. G. (2012). Green labelling, sustainability and the expansion of tropical agriculture: Critical issues for certification schemes. </w:t>
      </w:r>
      <w:r w:rsidRPr="007F5CE2">
        <w:rPr>
          <w:rFonts w:ascii="Arial" w:hAnsi="Arial" w:cs="Arial"/>
          <w:i/>
          <w:lang w:val="en-GB"/>
        </w:rPr>
        <w:t>Biological Conservation, 151</w:t>
      </w:r>
      <w:r w:rsidRPr="007F5CE2">
        <w:rPr>
          <w:rFonts w:ascii="Arial" w:hAnsi="Arial" w:cs="Arial"/>
          <w:lang w:val="en-GB"/>
        </w:rPr>
        <w:t>(1), 60-64.</w:t>
      </w:r>
    </w:p>
    <w:p w14:paraId="50CE1E11"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European Parliament, Council of the European Union. "Regulation (EU) 2023/1115 of the European Parliament and of the Council of 31 May 2023 on the making available on the Union market and the export from the Union of certain commodities and products associated with deforestation and forest degradation and repealing Regulation (EU) No 995/2010 (Text with EEA relevance)." Official Journal of the European Union, L 150, 9.6.2023, pp. 206–247. PE/82/2022/REV/1.</w:t>
      </w:r>
    </w:p>
    <w:p w14:paraId="0E644DF7" w14:textId="77777777" w:rsidR="00B777A8" w:rsidRPr="007F5CE2" w:rsidRDefault="00B777A8" w:rsidP="00886ED6">
      <w:pPr>
        <w:pStyle w:val="EndNoteBibliography"/>
        <w:spacing w:after="0"/>
        <w:ind w:left="720" w:hanging="720"/>
        <w:jc w:val="both"/>
        <w:rPr>
          <w:rFonts w:ascii="Arial" w:hAnsi="Arial" w:cs="Arial"/>
          <w:lang w:val="en-GB"/>
        </w:rPr>
      </w:pPr>
      <w:r w:rsidRPr="007F5CE2">
        <w:rPr>
          <w:rFonts w:ascii="Arial" w:hAnsi="Arial" w:cs="Arial"/>
          <w:lang w:val="it-IT"/>
        </w:rPr>
        <w:t xml:space="preserve">Falcone, P. M. &amp; Imbert, E. (2019). </w:t>
      </w:r>
      <w:r w:rsidRPr="007F5CE2">
        <w:rPr>
          <w:rFonts w:ascii="Arial" w:hAnsi="Arial" w:cs="Arial"/>
          <w:lang w:val="en-GB"/>
        </w:rPr>
        <w:t>Tackling Uncertainty in the Bio-Based Economy. </w:t>
      </w:r>
      <w:r w:rsidRPr="007F5CE2">
        <w:rPr>
          <w:rFonts w:ascii="Arial" w:hAnsi="Arial" w:cs="Arial"/>
          <w:i/>
          <w:iCs/>
          <w:lang w:val="en-GB"/>
        </w:rPr>
        <w:t>International Journal of Standardization Research (IJSR), 17</w:t>
      </w:r>
      <w:r w:rsidRPr="007F5CE2">
        <w:rPr>
          <w:rFonts w:ascii="Arial" w:hAnsi="Arial" w:cs="Arial"/>
          <w:lang w:val="en-GB"/>
        </w:rPr>
        <w:t>(1), 74-84. http://doi.org/10.4018/IJSR.2019010105</w:t>
      </w:r>
      <w:r w:rsidRPr="007F5CE2">
        <w:rPr>
          <w:rFonts w:ascii="Arial" w:hAnsi="Arial" w:cs="Arial"/>
          <w:lang w:val="en-GB"/>
        </w:rPr>
        <w:tab/>
      </w:r>
    </w:p>
    <w:p w14:paraId="390FC3C3" w14:textId="77777777" w:rsidR="00B777A8" w:rsidRPr="007F5CE2" w:rsidRDefault="00B777A8" w:rsidP="00886ED6">
      <w:pPr>
        <w:pStyle w:val="EndNoteBibliography"/>
        <w:spacing w:after="0"/>
        <w:ind w:left="720" w:hanging="720"/>
        <w:jc w:val="both"/>
        <w:rPr>
          <w:rFonts w:ascii="Arial" w:hAnsi="Arial" w:cs="Arial"/>
          <w:lang w:val="en-GB"/>
        </w:rPr>
      </w:pPr>
      <w:r w:rsidRPr="007F5CE2">
        <w:rPr>
          <w:rFonts w:ascii="Arial" w:hAnsi="Arial" w:cs="Arial"/>
          <w:lang w:val="en-GB"/>
        </w:rPr>
        <w:tab/>
      </w:r>
    </w:p>
    <w:p w14:paraId="2CD5F12C" w14:textId="77777777" w:rsidR="004E6C56" w:rsidRDefault="00B777A8" w:rsidP="004E6C56">
      <w:pPr>
        <w:pStyle w:val="EndNoteBibliography"/>
        <w:ind w:left="720" w:hanging="720"/>
        <w:jc w:val="both"/>
        <w:rPr>
          <w:rFonts w:ascii="Arial" w:hAnsi="Arial" w:cs="Arial"/>
          <w:lang w:val="en-GB"/>
        </w:rPr>
      </w:pPr>
      <w:r w:rsidRPr="007F5CE2">
        <w:rPr>
          <w:rFonts w:ascii="Arial" w:hAnsi="Arial" w:cs="Arial"/>
          <w:lang w:val="it-IT"/>
        </w:rPr>
        <w:t xml:space="preserve">Fikri, M. H., Rini, E. S., Ginting, P., &amp; Sembiring, B. K. F. (2022). </w:t>
      </w:r>
      <w:r w:rsidRPr="007F5CE2">
        <w:rPr>
          <w:rFonts w:ascii="Arial" w:hAnsi="Arial" w:cs="Arial"/>
          <w:lang w:val="en-GB"/>
        </w:rPr>
        <w:t xml:space="preserve">Green-Innovation Value Creation Perspective in Improving Marketing Performance in Palm Oil Plantation Industry. </w:t>
      </w:r>
      <w:r w:rsidRPr="007F5CE2">
        <w:rPr>
          <w:rFonts w:ascii="Arial" w:hAnsi="Arial" w:cs="Arial"/>
          <w:i/>
          <w:lang w:val="en-GB"/>
        </w:rPr>
        <w:t>Quality-Access to Success, 23</w:t>
      </w:r>
      <w:r w:rsidRPr="007F5CE2">
        <w:rPr>
          <w:rFonts w:ascii="Arial" w:hAnsi="Arial" w:cs="Arial"/>
          <w:lang w:val="en-GB"/>
        </w:rPr>
        <w:t>(186), 222-229.</w:t>
      </w:r>
    </w:p>
    <w:p w14:paraId="2691FCF4"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Forrer, J., &amp; Mo, K. (2013). From Certification to Supply Chain Strategy: An Analytical Framework for Enhancing Tropical Forest Governance. </w:t>
      </w:r>
      <w:r w:rsidRPr="007F5CE2">
        <w:rPr>
          <w:rFonts w:ascii="Arial" w:hAnsi="Arial" w:cs="Arial"/>
          <w:i/>
          <w:lang w:val="en-GB"/>
        </w:rPr>
        <w:t>Organization &amp; Environment, 26</w:t>
      </w:r>
      <w:r w:rsidRPr="007F5CE2">
        <w:rPr>
          <w:rFonts w:ascii="Arial" w:hAnsi="Arial" w:cs="Arial"/>
          <w:lang w:val="en-GB"/>
        </w:rPr>
        <w:t>(3), 260-280.</w:t>
      </w:r>
    </w:p>
    <w:p w14:paraId="49A1D98F"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Frey, G. E., Charnley, S., &amp; Makala, J. (2021). Economic viability of community-based forest management for certified timber production in southeastern Tanzania. [Article]. </w:t>
      </w:r>
      <w:r w:rsidRPr="007F5CE2">
        <w:rPr>
          <w:rFonts w:ascii="Arial" w:hAnsi="Arial" w:cs="Arial"/>
          <w:i/>
          <w:iCs/>
          <w:lang w:val="en-GB"/>
        </w:rPr>
        <w:t>World Development, 144</w:t>
      </w:r>
      <w:r w:rsidRPr="007F5CE2">
        <w:rPr>
          <w:rFonts w:ascii="Arial" w:hAnsi="Arial" w:cs="Arial"/>
          <w:lang w:val="en-GB"/>
        </w:rPr>
        <w:t>.</w:t>
      </w:r>
    </w:p>
    <w:p w14:paraId="61241046" w14:textId="77777777" w:rsidR="00B777A8" w:rsidRPr="007F5CE2" w:rsidRDefault="00B777A8" w:rsidP="00886ED6">
      <w:pPr>
        <w:pStyle w:val="EndNoteBibliography"/>
        <w:spacing w:after="0"/>
        <w:ind w:left="720" w:hanging="720"/>
        <w:jc w:val="both"/>
        <w:rPr>
          <w:rFonts w:ascii="Arial" w:hAnsi="Arial" w:cs="Arial"/>
          <w:lang w:val="en-GB"/>
        </w:rPr>
      </w:pPr>
      <w:r w:rsidRPr="007F5CE2">
        <w:rPr>
          <w:rFonts w:ascii="Arial" w:hAnsi="Arial" w:cs="Arial"/>
          <w:lang w:val="en-GB"/>
        </w:rPr>
        <w:t xml:space="preserve">Furumo, P. R., Rueda, X., Rodríguez, J. S., &amp; Parés Ramos, I. K. (2020). Field evidence for positive certification outcomes on oil palm smallholder management practices in Colombia. [Article]. </w:t>
      </w:r>
      <w:r w:rsidRPr="007F5CE2">
        <w:rPr>
          <w:rFonts w:ascii="Arial" w:hAnsi="Arial" w:cs="Arial"/>
          <w:i/>
          <w:lang w:val="en-GB"/>
        </w:rPr>
        <w:t>Journal of Cleaner Production, 245</w:t>
      </w:r>
      <w:r w:rsidRPr="007F5CE2">
        <w:rPr>
          <w:rFonts w:ascii="Arial" w:hAnsi="Arial" w:cs="Arial"/>
          <w:lang w:val="en-GB"/>
        </w:rPr>
        <w:t>.</w:t>
      </w:r>
    </w:p>
    <w:p w14:paraId="3F9138A7" w14:textId="77777777" w:rsidR="00B777A8" w:rsidRPr="007F5CE2" w:rsidRDefault="00B777A8" w:rsidP="00886ED6">
      <w:pPr>
        <w:pStyle w:val="EndNoteBibliography"/>
        <w:spacing w:after="0"/>
        <w:ind w:left="720" w:hanging="720"/>
        <w:jc w:val="both"/>
        <w:rPr>
          <w:rFonts w:ascii="Arial" w:hAnsi="Arial" w:cs="Arial"/>
          <w:lang w:val="en-GB"/>
        </w:rPr>
      </w:pPr>
      <w:r w:rsidRPr="007F5CE2">
        <w:rPr>
          <w:rFonts w:ascii="Arial" w:hAnsi="Arial" w:cs="Arial"/>
          <w:lang w:val="en-GB"/>
        </w:rPr>
        <w:tab/>
      </w:r>
    </w:p>
    <w:p w14:paraId="413735BC"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Gaebler, M. (2014). Recognition of Private Sustainability Certification Systems for Public Regulation (Co-Regulation): Lessons Learned from the EU Renewable Energy Directive. 99-112.</w:t>
      </w:r>
    </w:p>
    <w:p w14:paraId="7E1549AE" w14:textId="77777777" w:rsidR="00B777A8" w:rsidRPr="007F5CE2" w:rsidRDefault="00B777A8" w:rsidP="00886ED6">
      <w:pPr>
        <w:pStyle w:val="EndNoteBibliography"/>
        <w:spacing w:after="0"/>
        <w:ind w:left="720" w:hanging="720"/>
        <w:jc w:val="both"/>
        <w:rPr>
          <w:rFonts w:ascii="Arial" w:hAnsi="Arial" w:cs="Arial"/>
          <w:lang w:val="en-GB"/>
        </w:rPr>
      </w:pPr>
      <w:r w:rsidRPr="007F5CE2">
        <w:rPr>
          <w:rFonts w:ascii="Arial" w:hAnsi="Arial" w:cs="Arial"/>
          <w:lang w:val="en-GB"/>
        </w:rPr>
        <w:tab/>
      </w:r>
    </w:p>
    <w:p w14:paraId="11B896FE" w14:textId="77777777" w:rsidR="00B777A8" w:rsidRPr="007F5CE2" w:rsidRDefault="00B777A8" w:rsidP="00886ED6">
      <w:pPr>
        <w:pStyle w:val="EndNoteBibliography"/>
        <w:ind w:left="720" w:hanging="720"/>
        <w:jc w:val="both"/>
        <w:rPr>
          <w:rFonts w:ascii="Arial" w:hAnsi="Arial" w:cs="Arial"/>
          <w:i/>
          <w:iCs/>
          <w:lang w:val="en-GB"/>
        </w:rPr>
      </w:pPr>
      <w:r w:rsidRPr="007F5CE2">
        <w:rPr>
          <w:rFonts w:ascii="Arial" w:hAnsi="Arial" w:cs="Arial"/>
          <w:lang w:val="en-GB"/>
        </w:rPr>
        <w:t xml:space="preserve">Hidayat, N. K., Offermans, A., &amp; Glasbergen, P. P. (2016). </w:t>
      </w:r>
      <w:r w:rsidRPr="007F5CE2">
        <w:rPr>
          <w:rFonts w:ascii="Arial" w:hAnsi="Arial" w:cs="Arial"/>
          <w:iCs/>
          <w:lang w:val="en-GB"/>
        </w:rPr>
        <w:t>On The Profitability of Sustainability Certification: An Analysis among Indonesian Palm Oil Smallholders.</w:t>
      </w:r>
      <w:r w:rsidRPr="007F5CE2">
        <w:rPr>
          <w:rFonts w:ascii="Arial" w:hAnsi="Arial" w:cs="Arial"/>
          <w:lang w:val="en-GB"/>
        </w:rPr>
        <w:t xml:space="preserve"> </w:t>
      </w:r>
      <w:r w:rsidRPr="007F5CE2">
        <w:rPr>
          <w:rFonts w:ascii="Arial" w:hAnsi="Arial" w:cs="Arial"/>
          <w:i/>
          <w:iCs/>
          <w:lang w:val="en-GB"/>
        </w:rPr>
        <w:t>Journal of Economics and Sustainable Development, 7(18), 45-61.</w:t>
      </w:r>
    </w:p>
    <w:p w14:paraId="71854EA2" w14:textId="77777777" w:rsidR="00B777A8" w:rsidRPr="004E6C56" w:rsidRDefault="00B777A8" w:rsidP="004E6C56">
      <w:pPr>
        <w:pStyle w:val="EndNoteBibliography"/>
        <w:ind w:left="720" w:hanging="720"/>
        <w:jc w:val="both"/>
        <w:rPr>
          <w:rFonts w:ascii="Arial" w:hAnsi="Arial" w:cs="Arial"/>
          <w:i/>
          <w:iCs/>
          <w:lang w:val="en-GB"/>
        </w:rPr>
      </w:pPr>
      <w:r w:rsidRPr="007F5CE2">
        <w:rPr>
          <w:rFonts w:ascii="Arial" w:hAnsi="Arial" w:cs="Arial"/>
          <w:lang w:val="en-GB"/>
        </w:rPr>
        <w:t>Humphries, S. S., &amp; Kainer, K. A. (2006)</w:t>
      </w:r>
      <w:r w:rsidRPr="007F5CE2">
        <w:rPr>
          <w:rFonts w:ascii="Arial" w:hAnsi="Arial" w:cs="Arial"/>
          <w:i/>
          <w:iCs/>
          <w:lang w:val="en-GB"/>
        </w:rPr>
        <w:t>. Local perceptions of forest certification for community-based enterprises. Forest Ecology and Management, 235(1-3), 30-43.</w:t>
      </w:r>
    </w:p>
    <w:p w14:paraId="22269E2E"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Hutabarat, S., Slingerland, M., Rietberg, P., &amp; Dries, L. (2018). Costs and benefits of certification of independent oil palm smallholders in Indonesia. </w:t>
      </w:r>
      <w:r w:rsidRPr="007F5CE2">
        <w:rPr>
          <w:rFonts w:ascii="Arial" w:hAnsi="Arial" w:cs="Arial"/>
          <w:i/>
          <w:lang w:val="en-GB"/>
        </w:rPr>
        <w:t>International Food and Agribusiness Management Review, 21</w:t>
      </w:r>
      <w:r w:rsidRPr="007F5CE2">
        <w:rPr>
          <w:rFonts w:ascii="Arial" w:hAnsi="Arial" w:cs="Arial"/>
          <w:lang w:val="en-GB"/>
        </w:rPr>
        <w:t>(6), 681-700.</w:t>
      </w:r>
    </w:p>
    <w:p w14:paraId="3E8F11F8"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Kato, Y., &amp; Soda, R. (2020) The Impact of RSPO Certification on Oil Palm Smallholdings in Sarawak.</w:t>
      </w:r>
      <w:r w:rsidRPr="007F5CE2">
        <w:rPr>
          <w:rFonts w:ascii="Arial" w:hAnsi="Arial" w:cs="Arial"/>
          <w:i/>
          <w:iCs/>
          <w:lang w:val="en-GB"/>
        </w:rPr>
        <w:t xml:space="preserve"> Advances in Asian Human-Environmental Research </w:t>
      </w:r>
      <w:r w:rsidRPr="007F5CE2">
        <w:rPr>
          <w:rFonts w:ascii="Arial" w:hAnsi="Arial" w:cs="Arial"/>
          <w:lang w:val="en-GB"/>
        </w:rPr>
        <w:t>(pp. 337-356).</w:t>
      </w:r>
    </w:p>
    <w:p w14:paraId="11B126F8"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Lang, A. H., &amp; Mendell, B. C. (2012). Sustainable Wood Procurement: What the Literature Tells Us. </w:t>
      </w:r>
      <w:r w:rsidRPr="007F5CE2">
        <w:rPr>
          <w:rFonts w:ascii="Arial" w:hAnsi="Arial" w:cs="Arial"/>
          <w:i/>
          <w:lang w:val="en-GB"/>
        </w:rPr>
        <w:t>Journal of Forestry, 110</w:t>
      </w:r>
      <w:r w:rsidRPr="007F5CE2">
        <w:rPr>
          <w:rFonts w:ascii="Arial" w:hAnsi="Arial" w:cs="Arial"/>
          <w:lang w:val="en-GB"/>
        </w:rPr>
        <w:t>(3), 157-163.</w:t>
      </w:r>
    </w:p>
    <w:p w14:paraId="5430C3B2"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Lee, J. S. H., Miteva, D. A., Carlson, K. M., Heilmayr, R., &amp; Saif, O. (2019). Does oil palm certification create trade-offs between environment and development in Indonesia? [Article]. </w:t>
      </w:r>
      <w:r w:rsidRPr="007F5CE2">
        <w:rPr>
          <w:rFonts w:ascii="Arial" w:hAnsi="Arial" w:cs="Arial"/>
          <w:i/>
          <w:lang w:val="en-GB"/>
        </w:rPr>
        <w:t>Environmental Research Letters, 15</w:t>
      </w:r>
      <w:r w:rsidRPr="007F5CE2">
        <w:rPr>
          <w:rFonts w:ascii="Arial" w:hAnsi="Arial" w:cs="Arial"/>
          <w:lang w:val="en-GB"/>
        </w:rPr>
        <w:t>(12).</w:t>
      </w:r>
    </w:p>
    <w:p w14:paraId="6DD06811"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Meemken, E. M. (2020). Do smallholder farmers benefit from sustainability standards? A systematic review and meta-analysis. </w:t>
      </w:r>
      <w:r w:rsidRPr="007F5CE2">
        <w:rPr>
          <w:rFonts w:ascii="Arial" w:hAnsi="Arial" w:cs="Arial"/>
          <w:i/>
          <w:lang w:val="en-GB"/>
        </w:rPr>
        <w:t>Global Food Security, 26</w:t>
      </w:r>
      <w:r w:rsidRPr="007F5CE2">
        <w:rPr>
          <w:rFonts w:ascii="Arial" w:hAnsi="Arial" w:cs="Arial"/>
          <w:lang w:val="en-GB"/>
        </w:rPr>
        <w:t>, 100373-100373.</w:t>
      </w:r>
    </w:p>
    <w:p w14:paraId="6F353D4C"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Meemken, E. M. (2021). Large farms, large benefits? Sustainability certification among family farms and agro-industrial producers in Peru. </w:t>
      </w:r>
      <w:r w:rsidRPr="007F5CE2">
        <w:rPr>
          <w:rFonts w:ascii="Arial" w:hAnsi="Arial" w:cs="Arial"/>
          <w:i/>
          <w:lang w:val="en-GB"/>
        </w:rPr>
        <w:t>World Development, 145</w:t>
      </w:r>
      <w:r w:rsidRPr="007F5CE2">
        <w:rPr>
          <w:rFonts w:ascii="Arial" w:hAnsi="Arial" w:cs="Arial"/>
          <w:lang w:val="en-GB"/>
        </w:rPr>
        <w:t>.</w:t>
      </w:r>
    </w:p>
    <w:p w14:paraId="687D86D1"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Meemken, E. M., &amp; Qaim, M. (2018). Organic Agriculture, Food Security, and the Environment. In G. C. Rausser &amp; D. Zilberman (Eds.), </w:t>
      </w:r>
      <w:r w:rsidRPr="007F5CE2">
        <w:rPr>
          <w:rFonts w:ascii="Arial" w:hAnsi="Arial" w:cs="Arial"/>
          <w:i/>
          <w:iCs/>
          <w:lang w:val="en-GB"/>
        </w:rPr>
        <w:t>Annual Review of Resource Economics, Vol 10</w:t>
      </w:r>
      <w:r w:rsidRPr="007F5CE2">
        <w:rPr>
          <w:rFonts w:ascii="Arial" w:hAnsi="Arial" w:cs="Arial"/>
          <w:lang w:val="en-GB"/>
        </w:rPr>
        <w:t xml:space="preserve"> (Vol. 10, pp. 39-63).</w:t>
      </w:r>
    </w:p>
    <w:p w14:paraId="32A9E3A8"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Midderndorp, R. S., Vanacker, V., &amp; Lambion, E. F. (2018). Impacts of shaded agroforestry management on carbon sequestration, biodiversity and farmers income in cocoa production landscapes. </w:t>
      </w:r>
      <w:r w:rsidRPr="007F5CE2">
        <w:rPr>
          <w:rFonts w:ascii="Arial" w:hAnsi="Arial" w:cs="Arial"/>
          <w:i/>
          <w:lang w:val="en-GB"/>
        </w:rPr>
        <w:t>Landscape Ecology, 33</w:t>
      </w:r>
      <w:r w:rsidRPr="007F5CE2">
        <w:rPr>
          <w:rFonts w:ascii="Arial" w:hAnsi="Arial" w:cs="Arial"/>
          <w:lang w:val="en-GB"/>
        </w:rPr>
        <w:t>, 1953-1974.</w:t>
      </w:r>
    </w:p>
    <w:p w14:paraId="3A8F74CE"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Mook, A., &amp; Overdevest, C. (2018). Does Fairtrade Certification Meet Producers' Expectations Related to Participating in Mainstream Markets? An Analysis of Advertised Benefits and Perceived Impact. </w:t>
      </w:r>
      <w:r w:rsidRPr="007F5CE2">
        <w:rPr>
          <w:rFonts w:ascii="Arial" w:hAnsi="Arial" w:cs="Arial"/>
          <w:i/>
          <w:iCs/>
          <w:lang w:val="en-GB"/>
        </w:rPr>
        <w:t>Sustainable Development, 26</w:t>
      </w:r>
      <w:r w:rsidRPr="007F5CE2">
        <w:rPr>
          <w:rFonts w:ascii="Arial" w:hAnsi="Arial" w:cs="Arial"/>
          <w:lang w:val="en-GB"/>
        </w:rPr>
        <w:t>(3), 269-280.</w:t>
      </w:r>
    </w:p>
    <w:p w14:paraId="2C80D555"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Morgans, C. L., Meijaard, E., Santika, T., Law, E., Budiharta, S., Ancrenaz, M., et al. (2018). Evaluating the effectiveness of palm oil certification in delivering multiple sustainability objectives. </w:t>
      </w:r>
      <w:r w:rsidRPr="007F5CE2">
        <w:rPr>
          <w:rFonts w:ascii="Arial" w:hAnsi="Arial" w:cs="Arial"/>
          <w:i/>
          <w:lang w:val="en-GB"/>
        </w:rPr>
        <w:t>Environmental Research Letters, 13</w:t>
      </w:r>
      <w:r w:rsidRPr="007F5CE2">
        <w:rPr>
          <w:rFonts w:ascii="Arial" w:hAnsi="Arial" w:cs="Arial"/>
          <w:lang w:val="en-GB"/>
        </w:rPr>
        <w:t>(6).</w:t>
      </w:r>
    </w:p>
    <w:p w14:paraId="6584F731" w14:textId="77777777" w:rsidR="00B777A8" w:rsidRPr="007F5CE2" w:rsidRDefault="00B777A8" w:rsidP="004E6C56">
      <w:pPr>
        <w:pStyle w:val="EndNoteBibliography"/>
        <w:ind w:left="720" w:hanging="720"/>
        <w:jc w:val="both"/>
        <w:rPr>
          <w:rFonts w:ascii="Arial" w:hAnsi="Arial" w:cs="Arial"/>
          <w:lang w:val="en-GB"/>
        </w:rPr>
      </w:pPr>
      <w:r w:rsidRPr="009A1C10">
        <w:rPr>
          <w:rFonts w:ascii="Arial" w:hAnsi="Arial" w:cs="Arial"/>
          <w:lang w:val="en-GB"/>
        </w:rPr>
        <w:t xml:space="preserve">Oya, C., Schaefer, F., &amp; Skalidou, D. (2018). </w:t>
      </w:r>
      <w:r w:rsidRPr="007F5CE2">
        <w:rPr>
          <w:rFonts w:ascii="Arial" w:hAnsi="Arial" w:cs="Arial"/>
          <w:lang w:val="en-GB"/>
        </w:rPr>
        <w:t xml:space="preserve">The effectiveness of agricultural certification in developing countries: A systematic review. </w:t>
      </w:r>
      <w:r w:rsidRPr="007F5CE2">
        <w:rPr>
          <w:rFonts w:ascii="Arial" w:hAnsi="Arial" w:cs="Arial"/>
          <w:i/>
          <w:lang w:val="en-GB"/>
        </w:rPr>
        <w:t>World Development, 112</w:t>
      </w:r>
      <w:r w:rsidRPr="007F5CE2">
        <w:rPr>
          <w:rFonts w:ascii="Arial" w:hAnsi="Arial" w:cs="Arial"/>
          <w:lang w:val="en-GB"/>
        </w:rPr>
        <w:t>, 282-312.</w:t>
      </w:r>
    </w:p>
    <w:p w14:paraId="390C006C"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Page, M. J., McKenzie, J. E., Bossuyt, P. M., Boutron, I., Hoffmann, T. C., Mulrow, C. D., et al. (2021). The PRISMA 2020 statement: an updated guideline for reporting systematic reviews. </w:t>
      </w:r>
      <w:r w:rsidRPr="007F5CE2">
        <w:rPr>
          <w:rFonts w:ascii="Arial" w:hAnsi="Arial" w:cs="Arial"/>
          <w:i/>
          <w:lang w:val="en-GB"/>
        </w:rPr>
        <w:t>BMJ</w:t>
      </w:r>
      <w:r w:rsidRPr="007F5CE2">
        <w:rPr>
          <w:rFonts w:ascii="Arial" w:hAnsi="Arial" w:cs="Arial"/>
          <w:lang w:val="en-GB"/>
        </w:rPr>
        <w:t>, n71.</w:t>
      </w:r>
    </w:p>
    <w:p w14:paraId="1C78FF1C" w14:textId="77777777" w:rsidR="00B777A8" w:rsidRPr="007F5CE2" w:rsidRDefault="00DD76DC" w:rsidP="004E6C56">
      <w:pPr>
        <w:pStyle w:val="EndNoteBibliography"/>
        <w:ind w:left="720" w:hanging="720"/>
        <w:jc w:val="both"/>
        <w:rPr>
          <w:rFonts w:ascii="Arial" w:hAnsi="Arial" w:cs="Arial"/>
          <w:lang w:val="en-GB"/>
        </w:rPr>
      </w:pPr>
      <w:r w:rsidRPr="007F5CE2">
        <w:rPr>
          <w:rFonts w:ascii="Arial" w:hAnsi="Arial" w:cs="Arial"/>
          <w:lang w:val="en-GB"/>
        </w:rPr>
        <w:t xml:space="preserve">Purbasari, D., Karuniasa, M., &amp; Mahardhito Adhitya Wardhana, Y. (2020). </w:t>
      </w:r>
      <w:r w:rsidRPr="007F5CE2">
        <w:rPr>
          <w:rFonts w:ascii="Arial" w:hAnsi="Arial" w:cs="Arial"/>
          <w:i/>
          <w:lang w:val="en-GB"/>
        </w:rPr>
        <w:t>Constrain of smallholder forest management on timber legality assurance system (SVLK) certification: A case study in KTH Enggal Mulyo Lestari, Ponorogo District, East Java Province.</w:t>
      </w:r>
      <w:r w:rsidRPr="007F5CE2">
        <w:rPr>
          <w:rFonts w:ascii="Arial" w:hAnsi="Arial" w:cs="Arial"/>
          <w:lang w:val="en-GB"/>
        </w:rPr>
        <w:t xml:space="preserve"> Paper presented at the E3S Web of Conferences.</w:t>
      </w:r>
    </w:p>
    <w:p w14:paraId="68DFA0C6"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Reddy, A. A., Melts, I., Mohan, G., Rani, C. R., Pawar, V., Singh, V., et al. (2022). Economic Impact of Organic Agriculture: Evidence from a Pan-India Survey. </w:t>
      </w:r>
      <w:r w:rsidRPr="007F5CE2">
        <w:rPr>
          <w:rFonts w:ascii="Arial" w:hAnsi="Arial" w:cs="Arial"/>
          <w:i/>
          <w:lang w:val="en-GB"/>
        </w:rPr>
        <w:t>Sustainability, 14</w:t>
      </w:r>
      <w:r w:rsidRPr="007F5CE2">
        <w:rPr>
          <w:rFonts w:ascii="Arial" w:hAnsi="Arial" w:cs="Arial"/>
          <w:lang w:val="en-GB"/>
        </w:rPr>
        <w:t>(22).</w:t>
      </w:r>
    </w:p>
    <w:p w14:paraId="6627B055"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Rodhiah, Ifdal, I., Syarfi, I. W., &amp; Hasnah, H. (2019). </w:t>
      </w:r>
      <w:r w:rsidRPr="007F5CE2">
        <w:rPr>
          <w:rFonts w:ascii="Arial" w:hAnsi="Arial" w:cs="Arial"/>
          <w:i/>
          <w:lang w:val="en-GB"/>
        </w:rPr>
        <w:t>The impact of ISPO certification on economic, social and environmental aspect in the palm oil plantation.</w:t>
      </w:r>
      <w:r w:rsidRPr="007F5CE2">
        <w:rPr>
          <w:rFonts w:ascii="Arial" w:hAnsi="Arial" w:cs="Arial"/>
          <w:lang w:val="en-GB"/>
        </w:rPr>
        <w:t xml:space="preserve"> Paper presented at the IOP Conference Series: Earth and Environmental Science.</w:t>
      </w:r>
    </w:p>
    <w:p w14:paraId="1BA49601"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Santika, T., Wilson, K. A., Law, E. A., St John, F. A. V., Carlson, K. M., Gibbs, H., et al. (2021). Impact of palm oil sustainability certification on village well-being and poverty in Indonesia. </w:t>
      </w:r>
      <w:r w:rsidRPr="007F5CE2">
        <w:rPr>
          <w:rFonts w:ascii="Arial" w:hAnsi="Arial" w:cs="Arial"/>
          <w:i/>
          <w:lang w:val="en-GB"/>
        </w:rPr>
        <w:t>Nature Sustainability, 4</w:t>
      </w:r>
      <w:r w:rsidRPr="007F5CE2">
        <w:rPr>
          <w:rFonts w:ascii="Arial" w:hAnsi="Arial" w:cs="Arial"/>
          <w:lang w:val="en-GB"/>
        </w:rPr>
        <w:t>(2), 109-+.</w:t>
      </w:r>
    </w:p>
    <w:p w14:paraId="141B7823"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Schleifer, P., &amp; Sun, Y. X. (2020). Reviewing the impact of sustainability certification on food security in developing countries. </w:t>
      </w:r>
      <w:r w:rsidRPr="007F5CE2">
        <w:rPr>
          <w:rFonts w:ascii="Arial" w:hAnsi="Arial" w:cs="Arial"/>
          <w:i/>
          <w:iCs/>
          <w:lang w:val="en-GB"/>
        </w:rPr>
        <w:t>Global Food Security-Agriculture Policy Economics and Environment, 24</w:t>
      </w:r>
      <w:r w:rsidRPr="007F5CE2">
        <w:rPr>
          <w:rFonts w:ascii="Arial" w:hAnsi="Arial" w:cs="Arial"/>
          <w:lang w:val="en-GB"/>
        </w:rPr>
        <w:t>.</w:t>
      </w:r>
    </w:p>
    <w:p w14:paraId="7CDC8D09"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Selfa, T., Bain, C., &amp; Moreno, R. (2014). Depoliticizing land and water "grabs" in Colombia: The limits of Bonsucro certification for enhancing sustainable biofuel practices. [Article]. </w:t>
      </w:r>
      <w:r w:rsidRPr="007F5CE2">
        <w:rPr>
          <w:rFonts w:ascii="Arial" w:hAnsi="Arial" w:cs="Arial"/>
          <w:i/>
          <w:lang w:val="en-GB"/>
        </w:rPr>
        <w:t>Agriculture and Human Values, 31</w:t>
      </w:r>
      <w:r w:rsidRPr="007F5CE2">
        <w:rPr>
          <w:rFonts w:ascii="Arial" w:hAnsi="Arial" w:cs="Arial"/>
          <w:lang w:val="en-GB"/>
        </w:rPr>
        <w:t>(3), 455-468.</w:t>
      </w:r>
    </w:p>
    <w:p w14:paraId="341B868F" w14:textId="77777777" w:rsidR="00B777A8" w:rsidRPr="007F5CE2" w:rsidRDefault="00B777A8" w:rsidP="004E6C56">
      <w:pPr>
        <w:pStyle w:val="EndNoteBibliography"/>
        <w:ind w:left="720" w:hanging="720"/>
        <w:jc w:val="both"/>
        <w:rPr>
          <w:rFonts w:ascii="Arial" w:hAnsi="Arial" w:cs="Arial"/>
          <w:lang w:val="en-GB"/>
        </w:rPr>
      </w:pPr>
      <w:r w:rsidRPr="009A1C10">
        <w:rPr>
          <w:rFonts w:ascii="Arial" w:hAnsi="Arial" w:cs="Arial"/>
          <w:lang w:val="en-GB"/>
        </w:rPr>
        <w:t xml:space="preserve">So, H. W., &amp; Lafortezza, R. (2022). </w:t>
      </w:r>
      <w:r w:rsidRPr="007F5CE2">
        <w:rPr>
          <w:rFonts w:ascii="Arial" w:hAnsi="Arial" w:cs="Arial"/>
          <w:lang w:val="en-GB"/>
        </w:rPr>
        <w:t xml:space="preserve">Reviewing the impacts of eco-labelling of forest products on different dimensions of sustainability in Europe. </w:t>
      </w:r>
      <w:r w:rsidRPr="007F5CE2">
        <w:rPr>
          <w:rFonts w:ascii="Arial" w:hAnsi="Arial" w:cs="Arial"/>
          <w:i/>
          <w:lang w:val="en-GB"/>
        </w:rPr>
        <w:t>Forest Policy and Economics, 145</w:t>
      </w:r>
      <w:r w:rsidRPr="007F5CE2">
        <w:rPr>
          <w:rFonts w:ascii="Arial" w:hAnsi="Arial" w:cs="Arial"/>
          <w:lang w:val="en-GB"/>
        </w:rPr>
        <w:t>, 102851-102851.</w:t>
      </w:r>
    </w:p>
    <w:p w14:paraId="1F05F232"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STAR-ProBio (2020), STAR-ProBio Deliverable D9.3: Proposal for a co-regulation framework for the use of sustainability certification schemes in the production of bio-based products..</w:t>
      </w:r>
    </w:p>
    <w:p w14:paraId="42291E43"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it-IT"/>
        </w:rPr>
        <w:t xml:space="preserve">Tey, Y. S., Brindal, M., Djama, M., Hadi, A., &amp; Darham, S. (2021). </w:t>
      </w:r>
      <w:r w:rsidRPr="007F5CE2">
        <w:rPr>
          <w:rFonts w:ascii="Arial" w:hAnsi="Arial" w:cs="Arial"/>
          <w:lang w:val="en-GB"/>
        </w:rPr>
        <w:t xml:space="preserve">A review of the financial costs and benefits of the Roundtable on Sustainable Palm Oil certification: Implications for future research. </w:t>
      </w:r>
      <w:r w:rsidRPr="007F5CE2">
        <w:rPr>
          <w:rFonts w:ascii="Arial" w:hAnsi="Arial" w:cs="Arial"/>
          <w:i/>
          <w:lang w:val="en-GB"/>
        </w:rPr>
        <w:t>Sustainable Production and Consumption, 26</w:t>
      </w:r>
      <w:r w:rsidRPr="007F5CE2">
        <w:rPr>
          <w:rFonts w:ascii="Arial" w:hAnsi="Arial" w:cs="Arial"/>
          <w:lang w:val="en-GB"/>
        </w:rPr>
        <w:t>, 824-837.</w:t>
      </w:r>
    </w:p>
    <w:p w14:paraId="3E7ACFB9" w14:textId="77777777" w:rsidR="00B777A8" w:rsidRPr="007F5CE2" w:rsidRDefault="00B777A8" w:rsidP="004E6C56">
      <w:pPr>
        <w:pStyle w:val="EndNoteBibliography"/>
        <w:ind w:left="720" w:hanging="720"/>
        <w:jc w:val="both"/>
        <w:rPr>
          <w:rFonts w:ascii="Arial" w:hAnsi="Arial" w:cs="Arial"/>
          <w:lang w:val="en-GB"/>
        </w:rPr>
      </w:pPr>
      <w:r w:rsidRPr="009A1C10">
        <w:rPr>
          <w:rFonts w:ascii="Arial" w:hAnsi="Arial" w:cs="Arial"/>
          <w:lang w:val="en-GB"/>
        </w:rPr>
        <w:t xml:space="preserve">Tey, Y. S., Brindal, M., Djama, M., Hadi, A. H. I. A., &amp; Darham, S. (2021). </w:t>
      </w:r>
      <w:r w:rsidRPr="007F5CE2">
        <w:rPr>
          <w:rFonts w:ascii="Arial" w:hAnsi="Arial" w:cs="Arial"/>
          <w:lang w:val="en-GB"/>
        </w:rPr>
        <w:t xml:space="preserve">A review of the financial costs and benefits of the Roundtable on Sustainable Palm Oil certification: Implications for future research, </w:t>
      </w:r>
      <w:r w:rsidRPr="007F5CE2">
        <w:rPr>
          <w:rFonts w:ascii="Arial" w:hAnsi="Arial" w:cs="Arial"/>
          <w:i/>
          <w:lang w:val="en-GB"/>
        </w:rPr>
        <w:t>Sustainable Production and Consumption</w:t>
      </w:r>
      <w:r w:rsidRPr="007F5CE2">
        <w:rPr>
          <w:rFonts w:ascii="Arial" w:hAnsi="Arial" w:cs="Arial"/>
          <w:lang w:val="en-GB"/>
        </w:rPr>
        <w:t xml:space="preserve"> (Vol. 26, pp. 824-837): Elsevier B.V.</w:t>
      </w:r>
    </w:p>
    <w:p w14:paraId="087FCED1"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it-IT"/>
        </w:rPr>
        <w:t xml:space="preserve">Tey, Y. S., Brindal, M., Hadi, A., &amp; Darham, S. (2022). </w:t>
      </w:r>
      <w:r w:rsidRPr="007F5CE2">
        <w:rPr>
          <w:rFonts w:ascii="Arial" w:hAnsi="Arial" w:cs="Arial"/>
          <w:lang w:val="en-GB"/>
        </w:rPr>
        <w:t xml:space="preserve">Financial costs and benefits of the Roundtable on Sustainable Palm Oil certification among independent smallholders: A probabilistic view of the Monte Carlo approach. </w:t>
      </w:r>
      <w:r w:rsidRPr="007F5CE2">
        <w:rPr>
          <w:rFonts w:ascii="Arial" w:hAnsi="Arial" w:cs="Arial"/>
          <w:i/>
          <w:lang w:val="en-GB"/>
        </w:rPr>
        <w:t>Sustainable Production and Consumption, 30</w:t>
      </w:r>
      <w:r w:rsidRPr="007F5CE2">
        <w:rPr>
          <w:rFonts w:ascii="Arial" w:hAnsi="Arial" w:cs="Arial"/>
          <w:lang w:val="en-GB"/>
        </w:rPr>
        <w:t>, 377-386.</w:t>
      </w:r>
    </w:p>
    <w:p w14:paraId="2A2DDCE7"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Traldi, R. (2021). Progress and pitfalls: A systematic review of the evidence for agricultural sustainability standards. </w:t>
      </w:r>
      <w:r w:rsidRPr="007F5CE2">
        <w:rPr>
          <w:rFonts w:ascii="Arial" w:hAnsi="Arial" w:cs="Arial"/>
          <w:i/>
          <w:lang w:val="en-GB"/>
        </w:rPr>
        <w:t>Ecological Indicators, 125</w:t>
      </w:r>
      <w:r w:rsidRPr="007F5CE2">
        <w:rPr>
          <w:rFonts w:ascii="Arial" w:hAnsi="Arial" w:cs="Arial"/>
          <w:lang w:val="en-GB"/>
        </w:rPr>
        <w:t>.</w:t>
      </w:r>
    </w:p>
    <w:p w14:paraId="3C804D81" w14:textId="77777777" w:rsidR="00B777A8" w:rsidRPr="007F5CE2" w:rsidRDefault="00B777A8" w:rsidP="004E6C56">
      <w:pPr>
        <w:pStyle w:val="EndNoteBibliography"/>
        <w:ind w:left="720" w:hanging="720"/>
        <w:jc w:val="both"/>
        <w:rPr>
          <w:rFonts w:ascii="Arial" w:hAnsi="Arial" w:cs="Arial"/>
          <w:lang w:val="en-GB"/>
        </w:rPr>
      </w:pPr>
      <w:r w:rsidRPr="007F5CE2">
        <w:rPr>
          <w:rFonts w:ascii="Arial" w:hAnsi="Arial" w:cs="Arial"/>
          <w:lang w:val="en-GB"/>
        </w:rPr>
        <w:t xml:space="preserve">Vogt, C. D., Alencar, D. A., &amp; Fochezatto, A. (2022). The economic impact of organic production in Brazil: A study based on municipal production hotspots. </w:t>
      </w:r>
      <w:r w:rsidRPr="007F5CE2">
        <w:rPr>
          <w:rFonts w:ascii="Arial" w:hAnsi="Arial" w:cs="Arial"/>
          <w:i/>
          <w:iCs/>
          <w:lang w:val="en-GB"/>
        </w:rPr>
        <w:t>Plos One, 17</w:t>
      </w:r>
      <w:r w:rsidRPr="007F5CE2">
        <w:rPr>
          <w:rFonts w:ascii="Arial" w:hAnsi="Arial" w:cs="Arial"/>
          <w:lang w:val="en-GB"/>
        </w:rPr>
        <w:t>(3).</w:t>
      </w:r>
    </w:p>
    <w:p w14:paraId="212A218F" w14:textId="77777777" w:rsidR="00B777A8" w:rsidRPr="007F5CE2" w:rsidRDefault="00B777A8" w:rsidP="00886ED6">
      <w:pPr>
        <w:pStyle w:val="EndNoteBibliography"/>
        <w:ind w:left="720" w:hanging="720"/>
        <w:jc w:val="both"/>
        <w:rPr>
          <w:rFonts w:ascii="Arial" w:hAnsi="Arial" w:cs="Arial"/>
          <w:lang w:val="en-GB"/>
        </w:rPr>
      </w:pPr>
      <w:r w:rsidRPr="007F5CE2">
        <w:rPr>
          <w:rFonts w:ascii="Arial" w:hAnsi="Arial" w:cs="Arial"/>
          <w:lang w:val="en-GB"/>
        </w:rPr>
        <w:t xml:space="preserve">Wolff, S., &amp; Schweinle, J. (2022). Effectiveness and Economic Viability of Forest Certification: A Systematic Review, </w:t>
      </w:r>
      <w:r w:rsidRPr="007F5CE2">
        <w:rPr>
          <w:rFonts w:ascii="Arial" w:hAnsi="Arial" w:cs="Arial"/>
          <w:i/>
          <w:lang w:val="en-GB"/>
        </w:rPr>
        <w:t>Forests</w:t>
      </w:r>
      <w:r w:rsidRPr="007F5CE2">
        <w:rPr>
          <w:rFonts w:ascii="Arial" w:hAnsi="Arial" w:cs="Arial"/>
          <w:lang w:val="en-GB"/>
        </w:rPr>
        <w:t xml:space="preserve"> (Vol. 13): MDPI.</w:t>
      </w:r>
    </w:p>
    <w:p w14:paraId="685640AA" w14:textId="77777777" w:rsidR="008417E4" w:rsidRDefault="00B777A8">
      <w:r w:rsidRPr="007F5CE2">
        <w:rPr>
          <w:rFonts w:cs="Arial"/>
        </w:rPr>
        <w:fldChar w:fldCharType="end"/>
      </w:r>
      <w:r w:rsidR="008417E4">
        <w:br w:type="page"/>
      </w:r>
    </w:p>
    <w:p w14:paraId="4FFBB22B" w14:textId="77777777" w:rsidR="00D57F77" w:rsidRDefault="008417E4" w:rsidP="00DD0BFD">
      <w:pPr>
        <w:pStyle w:val="Heading1"/>
      </w:pPr>
      <w:bookmarkStart w:id="30" w:name="_Toc166073784"/>
      <w:r w:rsidRPr="00D57F77">
        <w:t>Appendices</w:t>
      </w:r>
      <w:bookmarkEnd w:id="30"/>
      <w:r w:rsidRPr="00D57F77">
        <w:t xml:space="preserve"> </w:t>
      </w:r>
    </w:p>
    <w:p w14:paraId="05EEF17E" w14:textId="77777777" w:rsidR="0023381E" w:rsidRPr="0023381E" w:rsidRDefault="0023381E" w:rsidP="0023381E"/>
    <w:p w14:paraId="3AB32865" w14:textId="77777777" w:rsidR="0023381E" w:rsidRPr="006956E5" w:rsidRDefault="0023381E" w:rsidP="00C91120">
      <w:pPr>
        <w:pStyle w:val="Heading2"/>
      </w:pPr>
      <w:bookmarkStart w:id="31" w:name="_Database"/>
      <w:bookmarkStart w:id="32" w:name="_Toc166073785"/>
      <w:bookmarkEnd w:id="31"/>
      <w:r>
        <w:t>Database</w:t>
      </w:r>
      <w:bookmarkEnd w:id="32"/>
    </w:p>
    <w:p w14:paraId="06217852" w14:textId="77777777" w:rsidR="00D57F77" w:rsidRDefault="006956E5" w:rsidP="00D57F77">
      <w:r>
        <w:t xml:space="preserve">The full database can be downloaded </w:t>
      </w:r>
      <w:r w:rsidR="00066006">
        <w:t>here</w:t>
      </w:r>
      <w:r w:rsidR="00C23229">
        <w:t>:</w:t>
      </w:r>
    </w:p>
    <w:p w14:paraId="4D119C28" w14:textId="77777777" w:rsidR="00DE48DB" w:rsidRDefault="0086162E" w:rsidP="00D57F77">
      <w:r>
        <w:object w:dxaOrig="1520" w:dyaOrig="987" w14:anchorId="0C9CA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pt;height:49pt" o:ole="">
            <v:imagedata r:id="rId17" o:title=""/>
          </v:shape>
          <o:OLEObject Type="Embed" ProgID="Excel.SheetMacroEnabled.12" ShapeID="_x0000_i1025" DrawAspect="Icon" ObjectID="_1814001210" r:id="rId18"/>
        </w:object>
      </w:r>
    </w:p>
    <w:p w14:paraId="37A0977A" w14:textId="77777777" w:rsidR="00763B62" w:rsidRDefault="00763B62" w:rsidP="00D57F77"/>
    <w:p w14:paraId="26E00135" w14:textId="77777777" w:rsidR="0023381E" w:rsidRDefault="0023381E" w:rsidP="00C91120">
      <w:pPr>
        <w:pStyle w:val="Heading2"/>
      </w:pPr>
      <w:bookmarkStart w:id="33" w:name="_Toc166073786"/>
      <w:r>
        <w:t>Glossary</w:t>
      </w:r>
      <w:bookmarkEnd w:id="33"/>
    </w:p>
    <w:p w14:paraId="7A9B1894" w14:textId="77777777" w:rsidR="00A01447" w:rsidRDefault="00720DC9" w:rsidP="00A01447">
      <w:pPr>
        <w:shd w:val="clear" w:color="auto" w:fill="FFFFFF"/>
        <w:rPr>
          <w:lang w:val="en-US"/>
        </w:rPr>
      </w:pPr>
      <w:r>
        <w:rPr>
          <w:lang w:val="en-US"/>
        </w:rPr>
        <w:t>The following section pro</w:t>
      </w:r>
      <w:r w:rsidR="00E60883">
        <w:rPr>
          <w:lang w:val="en-US"/>
        </w:rPr>
        <w:t xml:space="preserve">vides </w:t>
      </w:r>
      <w:r w:rsidR="00385760">
        <w:rPr>
          <w:lang w:val="en-US"/>
        </w:rPr>
        <w:t>the definition and</w:t>
      </w:r>
      <w:r w:rsidR="00E60883">
        <w:rPr>
          <w:lang w:val="en-US"/>
        </w:rPr>
        <w:t xml:space="preserve"> explanation </w:t>
      </w:r>
      <w:r w:rsidR="00385760">
        <w:rPr>
          <w:lang w:val="en-US"/>
        </w:rPr>
        <w:t>of the costs and benefit</w:t>
      </w:r>
      <w:r w:rsidR="00C23229">
        <w:rPr>
          <w:lang w:val="en-US"/>
        </w:rPr>
        <w:t xml:space="preserve"> found in the current report and linked dataset. </w:t>
      </w:r>
      <w:r w:rsidR="00385760">
        <w:rPr>
          <w:lang w:val="en-US"/>
        </w:rPr>
        <w:t xml:space="preserve"> </w:t>
      </w:r>
    </w:p>
    <w:p w14:paraId="2B0AED2A" w14:textId="77777777" w:rsidR="00A01447" w:rsidRPr="0023381E" w:rsidRDefault="00A01447" w:rsidP="004B6CE3">
      <w:pPr>
        <w:pStyle w:val="Heading3"/>
      </w:pPr>
      <w:r>
        <w:t xml:space="preserve"> </w:t>
      </w:r>
      <w:bookmarkStart w:id="34" w:name="_Toc166073787"/>
      <w:r>
        <w:t xml:space="preserve">Definitions and explanations </w:t>
      </w:r>
      <w:r w:rsidR="005E0DB3">
        <w:t>– direct costs</w:t>
      </w:r>
      <w:bookmarkEnd w:id="34"/>
    </w:p>
    <w:p w14:paraId="5D39206C" w14:textId="77777777" w:rsidR="00A01447" w:rsidRDefault="009A5880" w:rsidP="0023381E">
      <w:r>
        <w:fldChar w:fldCharType="begin"/>
      </w:r>
      <w:r>
        <w:instrText xml:space="preserve"> REF _Ref167446718 \h </w:instrText>
      </w:r>
      <w:r>
        <w:fldChar w:fldCharType="separate"/>
      </w:r>
      <w:r w:rsidR="005F7B06">
        <w:t xml:space="preserve">Table </w:t>
      </w:r>
      <w:r w:rsidR="005F7B06">
        <w:rPr>
          <w:noProof/>
        </w:rPr>
        <w:t>6</w:t>
      </w:r>
      <w:r>
        <w:fldChar w:fldCharType="end"/>
      </w:r>
      <w:r>
        <w:t xml:space="preserve"> provides an overview</w:t>
      </w:r>
      <w:r w:rsidR="00102693">
        <w:t xml:space="preserve"> </w:t>
      </w:r>
      <w:r>
        <w:t xml:space="preserve">of the main </w:t>
      </w:r>
      <w:r w:rsidR="00102693">
        <w:t xml:space="preserve">concepts used in the analysis of direct costs and their definitions and explanations. </w:t>
      </w:r>
      <w:r w:rsidR="00B46E58">
        <w:t>Preparing this was important for defining common understanding</w:t>
      </w:r>
      <w:r w:rsidR="00872BB5">
        <w:t xml:space="preserve"> across partners </w:t>
      </w:r>
      <w:proofErr w:type="gramStart"/>
      <w:r w:rsidR="00872BB5">
        <w:t>in order to</w:t>
      </w:r>
      <w:proofErr w:type="gramEnd"/>
      <w:r w:rsidR="00872BB5">
        <w:t xml:space="preserve"> make cost categories that can be compared across certification bodies and</w:t>
      </w:r>
      <w:r w:rsidR="00FC1B34">
        <w:t xml:space="preserve"> CSLs.</w:t>
      </w:r>
    </w:p>
    <w:p w14:paraId="739DC9F7" w14:textId="77777777" w:rsidR="00B46E58" w:rsidRDefault="00B46E58" w:rsidP="0023381E"/>
    <w:p w14:paraId="0759F6CE" w14:textId="77777777" w:rsidR="004C0571" w:rsidRDefault="004C0571" w:rsidP="00886ED6">
      <w:pPr>
        <w:pStyle w:val="Caption"/>
      </w:pPr>
      <w:bookmarkStart w:id="35" w:name="_Ref167446718"/>
      <w:r>
        <w:t xml:space="preserve">Table </w:t>
      </w:r>
      <w:r>
        <w:fldChar w:fldCharType="begin"/>
      </w:r>
      <w:r>
        <w:instrText xml:space="preserve"> SEQ Table \* ARABIC </w:instrText>
      </w:r>
      <w:r>
        <w:fldChar w:fldCharType="separate"/>
      </w:r>
      <w:r w:rsidR="005F7B06">
        <w:rPr>
          <w:noProof/>
        </w:rPr>
        <w:t>6</w:t>
      </w:r>
      <w:r>
        <w:fldChar w:fldCharType="end"/>
      </w:r>
      <w:bookmarkEnd w:id="35"/>
      <w:r>
        <w:t>. Definition and explanations for direct costs categories.</w:t>
      </w:r>
    </w:p>
    <w:tbl>
      <w:tblPr>
        <w:tblStyle w:val="GridTable1Light"/>
        <w:tblW w:w="9072" w:type="dxa"/>
        <w:tblLook w:val="04A0" w:firstRow="1" w:lastRow="0" w:firstColumn="1" w:lastColumn="0" w:noHBand="0" w:noVBand="1"/>
      </w:tblPr>
      <w:tblGrid>
        <w:gridCol w:w="1985"/>
        <w:gridCol w:w="7087"/>
      </w:tblGrid>
      <w:tr w:rsidR="00A01447" w:rsidRPr="00431D40" w14:paraId="3309B917" w14:textId="77777777" w:rsidTr="00431D40">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985" w:type="dxa"/>
            <w:vMerge w:val="restart"/>
            <w:tcBorders>
              <w:bottom w:val="single" w:sz="12" w:space="0" w:color="auto"/>
            </w:tcBorders>
          </w:tcPr>
          <w:p w14:paraId="215DE9DF" w14:textId="77777777" w:rsidR="00A01447" w:rsidRPr="00431D40" w:rsidRDefault="00A01447" w:rsidP="00A01447">
            <w:pPr>
              <w:rPr>
                <w:rFonts w:cs="Arial"/>
                <w:bCs w:val="0"/>
                <w:sz w:val="20"/>
                <w:szCs w:val="20"/>
                <w:lang w:val="en-US"/>
              </w:rPr>
            </w:pPr>
            <w:r w:rsidRPr="00431D40">
              <w:rPr>
                <w:rFonts w:cs="Arial"/>
                <w:bCs w:val="0"/>
                <w:sz w:val="20"/>
                <w:szCs w:val="20"/>
                <w:lang w:val="en-US"/>
              </w:rPr>
              <w:t>Subject</w:t>
            </w:r>
          </w:p>
        </w:tc>
        <w:tc>
          <w:tcPr>
            <w:tcW w:w="7087" w:type="dxa"/>
            <w:vMerge w:val="restart"/>
            <w:tcBorders>
              <w:bottom w:val="single" w:sz="12" w:space="0" w:color="auto"/>
            </w:tcBorders>
          </w:tcPr>
          <w:p w14:paraId="2AE1C9DC" w14:textId="77777777" w:rsidR="00A01447" w:rsidRPr="00431D40" w:rsidRDefault="00A01447" w:rsidP="00A01447">
            <w:pPr>
              <w:cnfStyle w:val="100000000000" w:firstRow="1" w:lastRow="0" w:firstColumn="0" w:lastColumn="0" w:oddVBand="0" w:evenVBand="0" w:oddHBand="0" w:evenHBand="0" w:firstRowFirstColumn="0" w:firstRowLastColumn="0" w:lastRowFirstColumn="0" w:lastRowLastColumn="0"/>
              <w:rPr>
                <w:rFonts w:cs="Arial"/>
                <w:bCs w:val="0"/>
                <w:sz w:val="20"/>
                <w:szCs w:val="20"/>
                <w:lang w:val="en-US"/>
              </w:rPr>
            </w:pPr>
            <w:r w:rsidRPr="00431D40">
              <w:rPr>
                <w:rFonts w:cs="Arial"/>
                <w:bCs w:val="0"/>
                <w:sz w:val="20"/>
                <w:szCs w:val="20"/>
                <w:lang w:val="en-US"/>
              </w:rPr>
              <w:t>Explanation</w:t>
            </w:r>
          </w:p>
        </w:tc>
      </w:tr>
      <w:tr w:rsidR="00A01447" w:rsidRPr="00431D40" w14:paraId="11D3B51E" w14:textId="77777777" w:rsidTr="00431D40">
        <w:trPr>
          <w:trHeight w:val="253"/>
        </w:trPr>
        <w:tc>
          <w:tcPr>
            <w:cnfStyle w:val="001000000000" w:firstRow="0" w:lastRow="0" w:firstColumn="1" w:lastColumn="0" w:oddVBand="0" w:evenVBand="0" w:oddHBand="0" w:evenHBand="0" w:firstRowFirstColumn="0" w:firstRowLastColumn="0" w:lastRowFirstColumn="0" w:lastRowLastColumn="0"/>
            <w:tcW w:w="1985" w:type="dxa"/>
            <w:vMerge/>
            <w:tcBorders>
              <w:bottom w:val="single" w:sz="12" w:space="0" w:color="auto"/>
            </w:tcBorders>
          </w:tcPr>
          <w:p w14:paraId="170E7BBA" w14:textId="77777777" w:rsidR="00A01447" w:rsidRPr="00431D40" w:rsidRDefault="00A01447" w:rsidP="00864059">
            <w:pPr>
              <w:rPr>
                <w:rFonts w:cs="Arial"/>
                <w:sz w:val="20"/>
                <w:szCs w:val="20"/>
                <w:lang w:val="en-US"/>
              </w:rPr>
            </w:pPr>
          </w:p>
        </w:tc>
        <w:tc>
          <w:tcPr>
            <w:tcW w:w="7087" w:type="dxa"/>
            <w:vMerge/>
            <w:tcBorders>
              <w:bottom w:val="single" w:sz="12" w:space="0" w:color="auto"/>
            </w:tcBorders>
          </w:tcPr>
          <w:p w14:paraId="21AD5647" w14:textId="77777777" w:rsidR="00A01447" w:rsidRPr="00431D40" w:rsidRDefault="00A01447" w:rsidP="00864059">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p>
        </w:tc>
      </w:tr>
      <w:tr w:rsidR="00A01447" w:rsidRPr="00431D40" w14:paraId="397D3420" w14:textId="77777777" w:rsidTr="00431D40">
        <w:tc>
          <w:tcPr>
            <w:cnfStyle w:val="001000000000" w:firstRow="0" w:lastRow="0" w:firstColumn="1" w:lastColumn="0" w:oddVBand="0" w:evenVBand="0" w:oddHBand="0" w:evenHBand="0" w:firstRowFirstColumn="0" w:firstRowLastColumn="0" w:lastRowFirstColumn="0" w:lastRowLastColumn="0"/>
            <w:tcW w:w="1985" w:type="dxa"/>
            <w:tcBorders>
              <w:top w:val="single" w:sz="12" w:space="0" w:color="auto"/>
            </w:tcBorders>
          </w:tcPr>
          <w:p w14:paraId="01D7F2C7" w14:textId="77777777" w:rsidR="00A01447" w:rsidRPr="00431D40" w:rsidRDefault="00A01447" w:rsidP="00864059">
            <w:pPr>
              <w:rPr>
                <w:rFonts w:cs="Arial"/>
                <w:b w:val="0"/>
                <w:bCs w:val="0"/>
                <w:sz w:val="20"/>
                <w:szCs w:val="20"/>
                <w:lang w:val="en-US"/>
              </w:rPr>
            </w:pPr>
            <w:r w:rsidRPr="00431D40">
              <w:rPr>
                <w:rFonts w:cs="Arial"/>
                <w:b w:val="0"/>
                <w:bCs w:val="0"/>
                <w:sz w:val="20"/>
                <w:szCs w:val="20"/>
                <w:lang w:val="en-US"/>
              </w:rPr>
              <w:t>Direct costs</w:t>
            </w:r>
          </w:p>
        </w:tc>
        <w:tc>
          <w:tcPr>
            <w:tcW w:w="7087" w:type="dxa"/>
            <w:tcBorders>
              <w:top w:val="single" w:sz="12" w:space="0" w:color="auto"/>
            </w:tcBorders>
          </w:tcPr>
          <w:p w14:paraId="54897C95" w14:textId="77777777" w:rsidR="00A01447" w:rsidRPr="00431D40" w:rsidRDefault="00A01447" w:rsidP="00864059">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p>
        </w:tc>
      </w:tr>
      <w:tr w:rsidR="00A01447" w:rsidRPr="00431D40" w14:paraId="6F81AA0F"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134591DC" w14:textId="77777777" w:rsidR="00A01447" w:rsidRPr="00431D40" w:rsidRDefault="00A01447" w:rsidP="00A01447">
            <w:pPr>
              <w:rPr>
                <w:rFonts w:cs="Arial"/>
                <w:b w:val="0"/>
                <w:bCs w:val="0"/>
                <w:sz w:val="20"/>
                <w:szCs w:val="20"/>
                <w:lang w:val="en-US"/>
              </w:rPr>
            </w:pPr>
            <w:r w:rsidRPr="00431D40">
              <w:rPr>
                <w:rFonts w:cs="Arial"/>
                <w:b w:val="0"/>
                <w:bCs w:val="0"/>
                <w:sz w:val="20"/>
                <w:szCs w:val="20"/>
                <w:lang w:val="en-US"/>
              </w:rPr>
              <w:t>Administration</w:t>
            </w:r>
          </w:p>
        </w:tc>
        <w:tc>
          <w:tcPr>
            <w:tcW w:w="7087" w:type="dxa"/>
          </w:tcPr>
          <w:p w14:paraId="6EF95D6A" w14:textId="77777777" w:rsidR="00A01447" w:rsidRPr="00431D40" w:rsidRDefault="00A01447" w:rsidP="00A01447">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31D40">
              <w:rPr>
                <w:rFonts w:cs="Arial"/>
                <w:sz w:val="20"/>
                <w:szCs w:val="20"/>
                <w:lang w:val="en-US"/>
              </w:rPr>
              <w:t xml:space="preserve">Administration, Registration, Database </w:t>
            </w:r>
            <w:proofErr w:type="gramStart"/>
            <w:r w:rsidRPr="00431D40">
              <w:rPr>
                <w:rFonts w:cs="Arial"/>
                <w:sz w:val="20"/>
                <w:szCs w:val="20"/>
                <w:lang w:val="en-US"/>
              </w:rPr>
              <w:t>Intro</w:t>
            </w:r>
            <w:proofErr w:type="gramEnd"/>
            <w:r w:rsidRPr="00431D40">
              <w:rPr>
                <w:rFonts w:cs="Arial"/>
                <w:sz w:val="20"/>
                <w:szCs w:val="20"/>
                <w:lang w:val="en-US"/>
              </w:rPr>
              <w:t xml:space="preserve"> and associated costs</w:t>
            </w:r>
          </w:p>
        </w:tc>
      </w:tr>
      <w:tr w:rsidR="00A01447" w:rsidRPr="00431D40" w14:paraId="06982B76"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5C65F9B5" w14:textId="77777777" w:rsidR="00A01447" w:rsidRPr="00431D40" w:rsidRDefault="00A01447" w:rsidP="00A01447">
            <w:pPr>
              <w:rPr>
                <w:rFonts w:cs="Arial"/>
                <w:b w:val="0"/>
                <w:bCs w:val="0"/>
                <w:sz w:val="20"/>
                <w:szCs w:val="20"/>
                <w:lang w:val="en-US"/>
              </w:rPr>
            </w:pPr>
            <w:r w:rsidRPr="00431D40">
              <w:rPr>
                <w:rFonts w:cs="Arial"/>
                <w:b w:val="0"/>
                <w:bCs w:val="0"/>
                <w:sz w:val="20"/>
                <w:szCs w:val="20"/>
                <w:lang w:val="en-US"/>
              </w:rPr>
              <w:t>Auditing &amp; reporting</w:t>
            </w:r>
          </w:p>
        </w:tc>
        <w:tc>
          <w:tcPr>
            <w:tcW w:w="7087" w:type="dxa"/>
          </w:tcPr>
          <w:p w14:paraId="4F29831F" w14:textId="77777777" w:rsidR="00A01447" w:rsidRPr="00431D40" w:rsidRDefault="00A01447" w:rsidP="00A01447">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31D40">
              <w:rPr>
                <w:rFonts w:cs="Arial"/>
                <w:sz w:val="20"/>
                <w:szCs w:val="20"/>
                <w:lang w:val="en-US"/>
              </w:rPr>
              <w:t>Preparation for audit, undertaking of audit, and reporting of audit findings</w:t>
            </w:r>
          </w:p>
        </w:tc>
      </w:tr>
      <w:tr w:rsidR="00A01447" w:rsidRPr="00431D40" w14:paraId="63CD43E5"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16C7F043" w14:textId="77777777" w:rsidR="00A01447" w:rsidRPr="00431D40" w:rsidRDefault="00A01447" w:rsidP="00A01447">
            <w:pPr>
              <w:rPr>
                <w:rFonts w:cs="Arial"/>
                <w:b w:val="0"/>
                <w:bCs w:val="0"/>
                <w:sz w:val="20"/>
                <w:szCs w:val="20"/>
                <w:lang w:val="en-US"/>
              </w:rPr>
            </w:pPr>
            <w:r w:rsidRPr="00431D40">
              <w:rPr>
                <w:rFonts w:cs="Arial"/>
                <w:b w:val="0"/>
                <w:bCs w:val="0"/>
                <w:sz w:val="20"/>
                <w:szCs w:val="20"/>
                <w:lang w:val="en-US"/>
              </w:rPr>
              <w:t>Review</w:t>
            </w:r>
          </w:p>
        </w:tc>
        <w:tc>
          <w:tcPr>
            <w:tcW w:w="7087" w:type="dxa"/>
          </w:tcPr>
          <w:p w14:paraId="0F58FC21" w14:textId="77777777" w:rsidR="00A01447" w:rsidRPr="00431D40" w:rsidRDefault="00A01447" w:rsidP="2928E796">
            <w:pPr>
              <w:cnfStyle w:val="000000000000" w:firstRow="0" w:lastRow="0" w:firstColumn="0" w:lastColumn="0" w:oddVBand="0" w:evenVBand="0" w:oddHBand="0" w:evenHBand="0" w:firstRowFirstColumn="0" w:firstRowLastColumn="0" w:lastRowFirstColumn="0" w:lastRowLastColumn="0"/>
              <w:rPr>
                <w:rFonts w:cs="Arial"/>
                <w:sz w:val="20"/>
                <w:szCs w:val="20"/>
              </w:rPr>
            </w:pPr>
            <w:r w:rsidRPr="00431D40">
              <w:rPr>
                <w:rFonts w:cs="Arial"/>
                <w:sz w:val="20"/>
                <w:szCs w:val="20"/>
              </w:rPr>
              <w:t>Technical review of audit report, incl. “four-eyes check”, and following preparation for issuance of certificate</w:t>
            </w:r>
          </w:p>
        </w:tc>
      </w:tr>
      <w:tr w:rsidR="00A01447" w:rsidRPr="00431D40" w14:paraId="1C3E3CCF" w14:textId="77777777" w:rsidTr="00431D40">
        <w:tc>
          <w:tcPr>
            <w:cnfStyle w:val="001000000000" w:firstRow="0" w:lastRow="0" w:firstColumn="1" w:lastColumn="0" w:oddVBand="0" w:evenVBand="0" w:oddHBand="0" w:evenHBand="0" w:firstRowFirstColumn="0" w:firstRowLastColumn="0" w:lastRowFirstColumn="0" w:lastRowLastColumn="0"/>
            <w:tcW w:w="1985" w:type="dxa"/>
            <w:vMerge w:val="restart"/>
          </w:tcPr>
          <w:p w14:paraId="54B29416" w14:textId="77777777" w:rsidR="00A01447" w:rsidRPr="00431D40" w:rsidRDefault="00A01447" w:rsidP="00A01447">
            <w:pPr>
              <w:rPr>
                <w:rFonts w:cs="Arial"/>
                <w:b w:val="0"/>
                <w:bCs w:val="0"/>
                <w:sz w:val="20"/>
                <w:szCs w:val="20"/>
                <w:lang w:val="en-US"/>
              </w:rPr>
            </w:pPr>
            <w:r w:rsidRPr="00431D40">
              <w:rPr>
                <w:rFonts w:cs="Arial"/>
                <w:b w:val="0"/>
                <w:bCs w:val="0"/>
                <w:sz w:val="20"/>
                <w:szCs w:val="20"/>
                <w:lang w:val="en-US"/>
              </w:rPr>
              <w:t>Certification fees</w:t>
            </w:r>
          </w:p>
        </w:tc>
        <w:tc>
          <w:tcPr>
            <w:tcW w:w="7087" w:type="dxa"/>
          </w:tcPr>
          <w:p w14:paraId="61E7FF69" w14:textId="77777777" w:rsidR="00A01447" w:rsidRPr="00431D40" w:rsidRDefault="00A01447" w:rsidP="00A01447">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31D40">
              <w:rPr>
                <w:rFonts w:cs="Arial"/>
                <w:b/>
                <w:sz w:val="20"/>
                <w:szCs w:val="20"/>
                <w:lang w:val="en-US"/>
              </w:rPr>
              <w:t>CB</w:t>
            </w:r>
            <w:r w:rsidRPr="00431D40">
              <w:rPr>
                <w:rFonts w:cs="Arial"/>
                <w:sz w:val="20"/>
                <w:szCs w:val="20"/>
                <w:lang w:val="en-US"/>
              </w:rPr>
              <w:t xml:space="preserve">: </w:t>
            </w:r>
            <w:proofErr w:type="spellStart"/>
            <w:r w:rsidRPr="00431D40">
              <w:rPr>
                <w:rFonts w:cs="Arial"/>
                <w:sz w:val="20"/>
                <w:szCs w:val="20"/>
                <w:lang w:val="en-US"/>
              </w:rPr>
              <w:t>Annualised</w:t>
            </w:r>
            <w:proofErr w:type="spellEnd"/>
            <w:r w:rsidRPr="00431D40">
              <w:rPr>
                <w:rFonts w:cs="Arial"/>
                <w:sz w:val="20"/>
                <w:szCs w:val="20"/>
                <w:lang w:val="en-US"/>
              </w:rPr>
              <w:t xml:space="preserve"> certification costs for the issuance of a certificate or Letter of Attestation</w:t>
            </w:r>
          </w:p>
        </w:tc>
      </w:tr>
      <w:tr w:rsidR="00A01447" w:rsidRPr="00431D40" w14:paraId="6FD132DC" w14:textId="77777777" w:rsidTr="00431D40">
        <w:tc>
          <w:tcPr>
            <w:cnfStyle w:val="001000000000" w:firstRow="0" w:lastRow="0" w:firstColumn="1" w:lastColumn="0" w:oddVBand="0" w:evenVBand="0" w:oddHBand="0" w:evenHBand="0" w:firstRowFirstColumn="0" w:firstRowLastColumn="0" w:lastRowFirstColumn="0" w:lastRowLastColumn="0"/>
            <w:tcW w:w="1985" w:type="dxa"/>
            <w:vMerge/>
          </w:tcPr>
          <w:p w14:paraId="1AAF86A0" w14:textId="77777777" w:rsidR="00A01447" w:rsidRPr="00431D40" w:rsidRDefault="00A01447" w:rsidP="00A01447">
            <w:pPr>
              <w:rPr>
                <w:rFonts w:cs="Arial"/>
                <w:b w:val="0"/>
                <w:bCs w:val="0"/>
                <w:sz w:val="20"/>
                <w:szCs w:val="20"/>
                <w:lang w:val="en-US"/>
              </w:rPr>
            </w:pPr>
          </w:p>
        </w:tc>
        <w:tc>
          <w:tcPr>
            <w:tcW w:w="7087" w:type="dxa"/>
          </w:tcPr>
          <w:p w14:paraId="5ACC6F28" w14:textId="77777777" w:rsidR="00A01447" w:rsidRPr="00431D40" w:rsidRDefault="00A01447" w:rsidP="00A01447">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31D40">
              <w:rPr>
                <w:rFonts w:cs="Arial"/>
                <w:b/>
                <w:sz w:val="20"/>
                <w:szCs w:val="20"/>
                <w:lang w:val="en-US"/>
              </w:rPr>
              <w:t>CSL:</w:t>
            </w:r>
            <w:r w:rsidRPr="00431D40">
              <w:rPr>
                <w:rFonts w:cs="Arial"/>
                <w:sz w:val="20"/>
                <w:szCs w:val="20"/>
                <w:lang w:val="en-US"/>
              </w:rPr>
              <w:t xml:space="preserve"> </w:t>
            </w:r>
            <w:proofErr w:type="spellStart"/>
            <w:r w:rsidRPr="00431D40">
              <w:rPr>
                <w:rFonts w:cs="Arial"/>
                <w:sz w:val="20"/>
                <w:szCs w:val="20"/>
                <w:lang w:val="en-US"/>
              </w:rPr>
              <w:t>Annualised</w:t>
            </w:r>
            <w:proofErr w:type="spellEnd"/>
            <w:r w:rsidRPr="00431D40">
              <w:rPr>
                <w:rFonts w:cs="Arial"/>
                <w:sz w:val="20"/>
                <w:szCs w:val="20"/>
                <w:lang w:val="en-US"/>
              </w:rPr>
              <w:t xml:space="preserve"> – midsized companies</w:t>
            </w:r>
          </w:p>
        </w:tc>
      </w:tr>
      <w:tr w:rsidR="00A01447" w:rsidRPr="00431D40" w14:paraId="6C476079" w14:textId="77777777" w:rsidTr="00431D40">
        <w:tc>
          <w:tcPr>
            <w:cnfStyle w:val="001000000000" w:firstRow="0" w:lastRow="0" w:firstColumn="1" w:lastColumn="0" w:oddVBand="0" w:evenVBand="0" w:oddHBand="0" w:evenHBand="0" w:firstRowFirstColumn="0" w:firstRowLastColumn="0" w:lastRowFirstColumn="0" w:lastRowLastColumn="0"/>
            <w:tcW w:w="1985" w:type="dxa"/>
            <w:vMerge w:val="restart"/>
          </w:tcPr>
          <w:p w14:paraId="47992040" w14:textId="77777777" w:rsidR="00A01447" w:rsidRPr="00431D40" w:rsidRDefault="00A01447" w:rsidP="00A01447">
            <w:pPr>
              <w:rPr>
                <w:rFonts w:cs="Arial"/>
                <w:b w:val="0"/>
                <w:bCs w:val="0"/>
                <w:sz w:val="20"/>
                <w:szCs w:val="20"/>
                <w:lang w:val="en-US"/>
              </w:rPr>
            </w:pPr>
            <w:r w:rsidRPr="00431D40">
              <w:rPr>
                <w:rFonts w:cs="Arial"/>
                <w:b w:val="0"/>
                <w:bCs w:val="0"/>
                <w:sz w:val="20"/>
                <w:szCs w:val="20"/>
                <w:lang w:val="en-US"/>
              </w:rPr>
              <w:t>Travel expenses</w:t>
            </w:r>
          </w:p>
        </w:tc>
        <w:tc>
          <w:tcPr>
            <w:tcW w:w="7087" w:type="dxa"/>
          </w:tcPr>
          <w:p w14:paraId="58771AAE" w14:textId="77777777" w:rsidR="00A01447" w:rsidRPr="00431D40" w:rsidRDefault="00A01447" w:rsidP="00A01447">
            <w:pPr>
              <w:cnfStyle w:val="000000000000" w:firstRow="0" w:lastRow="0" w:firstColumn="0" w:lastColumn="0" w:oddVBand="0" w:evenVBand="0" w:oddHBand="0" w:evenHBand="0" w:firstRowFirstColumn="0" w:firstRowLastColumn="0" w:lastRowFirstColumn="0" w:lastRowLastColumn="0"/>
              <w:rPr>
                <w:rFonts w:cs="Arial"/>
                <w:b/>
                <w:sz w:val="20"/>
                <w:szCs w:val="20"/>
                <w:lang w:val="en-US"/>
              </w:rPr>
            </w:pPr>
            <w:r w:rsidRPr="00431D40">
              <w:rPr>
                <w:rFonts w:cs="Arial"/>
                <w:b/>
                <w:sz w:val="20"/>
                <w:szCs w:val="20"/>
                <w:lang w:val="en-US"/>
              </w:rPr>
              <w:t xml:space="preserve">Estimated average </w:t>
            </w:r>
            <w:r w:rsidRPr="00431D40">
              <w:rPr>
                <w:rFonts w:cs="Arial"/>
                <w:sz w:val="20"/>
                <w:szCs w:val="20"/>
                <w:lang w:val="en-US"/>
              </w:rPr>
              <w:t xml:space="preserve">for travels within the country of origin for the auditor </w:t>
            </w:r>
          </w:p>
        </w:tc>
      </w:tr>
      <w:tr w:rsidR="00A01447" w:rsidRPr="00431D40" w14:paraId="68381293" w14:textId="77777777" w:rsidTr="00431D40">
        <w:tc>
          <w:tcPr>
            <w:cnfStyle w:val="001000000000" w:firstRow="0" w:lastRow="0" w:firstColumn="1" w:lastColumn="0" w:oddVBand="0" w:evenVBand="0" w:oddHBand="0" w:evenHBand="0" w:firstRowFirstColumn="0" w:firstRowLastColumn="0" w:lastRowFirstColumn="0" w:lastRowLastColumn="0"/>
            <w:tcW w:w="1985" w:type="dxa"/>
            <w:vMerge/>
          </w:tcPr>
          <w:p w14:paraId="094CE4F1" w14:textId="77777777" w:rsidR="00A01447" w:rsidRPr="00431D40" w:rsidRDefault="00A01447" w:rsidP="00A01447">
            <w:pPr>
              <w:rPr>
                <w:rFonts w:cs="Arial"/>
                <w:b w:val="0"/>
                <w:bCs w:val="0"/>
                <w:sz w:val="20"/>
                <w:szCs w:val="20"/>
                <w:lang w:val="en-US"/>
              </w:rPr>
            </w:pPr>
          </w:p>
        </w:tc>
        <w:tc>
          <w:tcPr>
            <w:tcW w:w="7087" w:type="dxa"/>
          </w:tcPr>
          <w:p w14:paraId="65F7A314" w14:textId="77777777" w:rsidR="00A01447" w:rsidRPr="00431D40" w:rsidRDefault="00A01447" w:rsidP="00A01447">
            <w:pPr>
              <w:cnfStyle w:val="000000000000" w:firstRow="0" w:lastRow="0" w:firstColumn="0" w:lastColumn="0" w:oddVBand="0" w:evenVBand="0" w:oddHBand="0" w:evenHBand="0" w:firstRowFirstColumn="0" w:firstRowLastColumn="0" w:lastRowFirstColumn="0" w:lastRowLastColumn="0"/>
              <w:rPr>
                <w:rFonts w:cs="Arial"/>
                <w:b/>
                <w:sz w:val="20"/>
                <w:szCs w:val="20"/>
                <w:lang w:val="en-US"/>
              </w:rPr>
            </w:pPr>
            <w:r w:rsidRPr="00431D40">
              <w:rPr>
                <w:rFonts w:cs="Arial"/>
                <w:b/>
                <w:sz w:val="20"/>
                <w:szCs w:val="20"/>
                <w:lang w:val="en-US"/>
              </w:rPr>
              <w:t xml:space="preserve">Estimated average </w:t>
            </w:r>
            <w:r w:rsidRPr="00431D40">
              <w:rPr>
                <w:rFonts w:cs="Arial"/>
                <w:sz w:val="20"/>
                <w:szCs w:val="20"/>
                <w:lang w:val="en-US"/>
              </w:rPr>
              <w:t xml:space="preserve">for auditor travelling out of country of origin                                             </w:t>
            </w:r>
          </w:p>
        </w:tc>
      </w:tr>
      <w:tr w:rsidR="00A01447" w:rsidRPr="00431D40" w14:paraId="22F1FAD2"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4A2D8936" w14:textId="77777777" w:rsidR="00A01447" w:rsidRPr="00431D40" w:rsidRDefault="00A01447" w:rsidP="00A01447">
            <w:pPr>
              <w:rPr>
                <w:rFonts w:cs="Arial"/>
                <w:b w:val="0"/>
                <w:bCs w:val="0"/>
                <w:sz w:val="20"/>
                <w:szCs w:val="20"/>
                <w:lang w:val="en-US"/>
              </w:rPr>
            </w:pPr>
            <w:r w:rsidRPr="00431D40">
              <w:rPr>
                <w:rFonts w:cs="Arial"/>
                <w:b w:val="0"/>
                <w:bCs w:val="0"/>
                <w:sz w:val="20"/>
                <w:szCs w:val="20"/>
                <w:lang w:val="en-US"/>
              </w:rPr>
              <w:t xml:space="preserve">Membership fees </w:t>
            </w:r>
          </w:p>
        </w:tc>
        <w:tc>
          <w:tcPr>
            <w:tcW w:w="7087" w:type="dxa"/>
          </w:tcPr>
          <w:p w14:paraId="4FF5C777" w14:textId="77777777" w:rsidR="00A01447" w:rsidRPr="00431D40" w:rsidRDefault="004C0571" w:rsidP="00A01447">
            <w:pPr>
              <w:cnfStyle w:val="000000000000" w:firstRow="0" w:lastRow="0" w:firstColumn="0" w:lastColumn="0" w:oddVBand="0" w:evenVBand="0" w:oddHBand="0" w:evenHBand="0" w:firstRowFirstColumn="0" w:firstRowLastColumn="0" w:lastRowFirstColumn="0" w:lastRowLastColumn="0"/>
              <w:rPr>
                <w:rFonts w:cs="Arial"/>
                <w:bCs/>
                <w:sz w:val="20"/>
                <w:szCs w:val="20"/>
                <w:lang w:val="en-US"/>
              </w:rPr>
            </w:pPr>
            <w:r w:rsidRPr="00431D40">
              <w:rPr>
                <w:rFonts w:cs="Arial"/>
                <w:bCs/>
                <w:sz w:val="20"/>
                <w:szCs w:val="20"/>
                <w:lang w:val="en-US"/>
              </w:rPr>
              <w:t>Membership fees in Euro/year</w:t>
            </w:r>
          </w:p>
        </w:tc>
      </w:tr>
      <w:tr w:rsidR="00A01447" w:rsidRPr="00431D40" w14:paraId="26164FFB"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383014EB" w14:textId="77777777" w:rsidR="00A01447" w:rsidRPr="00431D40" w:rsidRDefault="00A01447" w:rsidP="00A01447">
            <w:pPr>
              <w:rPr>
                <w:rFonts w:cs="Arial"/>
                <w:b w:val="0"/>
                <w:bCs w:val="0"/>
                <w:sz w:val="20"/>
                <w:szCs w:val="20"/>
                <w:highlight w:val="yellow"/>
                <w:lang w:val="en-US"/>
              </w:rPr>
            </w:pPr>
            <w:r w:rsidRPr="00431D40">
              <w:rPr>
                <w:rFonts w:cs="Arial"/>
                <w:b w:val="0"/>
                <w:bCs w:val="0"/>
                <w:sz w:val="20"/>
                <w:szCs w:val="20"/>
                <w:lang w:val="en-US"/>
              </w:rPr>
              <w:t>Key concepts</w:t>
            </w:r>
          </w:p>
        </w:tc>
        <w:tc>
          <w:tcPr>
            <w:tcW w:w="7087" w:type="dxa"/>
          </w:tcPr>
          <w:p w14:paraId="279F51EA" w14:textId="77777777" w:rsidR="00A01447" w:rsidRPr="00431D40" w:rsidRDefault="00A01447" w:rsidP="00A01447">
            <w:pPr>
              <w:cnfStyle w:val="000000000000" w:firstRow="0" w:lastRow="0" w:firstColumn="0" w:lastColumn="0" w:oddVBand="0" w:evenVBand="0" w:oddHBand="0" w:evenHBand="0" w:firstRowFirstColumn="0" w:firstRowLastColumn="0" w:lastRowFirstColumn="0" w:lastRowLastColumn="0"/>
              <w:rPr>
                <w:rFonts w:cs="Arial"/>
                <w:b/>
                <w:sz w:val="20"/>
                <w:szCs w:val="20"/>
                <w:highlight w:val="yellow"/>
                <w:lang w:val="en-US"/>
              </w:rPr>
            </w:pPr>
          </w:p>
        </w:tc>
      </w:tr>
      <w:tr w:rsidR="0023381E" w:rsidRPr="00431D40" w14:paraId="251B33BA"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41071F15"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Agricultural Supplier EU</w:t>
            </w:r>
          </w:p>
          <w:p w14:paraId="49404CBC"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(Individual Farm)</w:t>
            </w:r>
          </w:p>
        </w:tc>
        <w:tc>
          <w:tcPr>
            <w:tcW w:w="7087" w:type="dxa"/>
          </w:tcPr>
          <w:p w14:paraId="42CC958C"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r w:rsidRPr="00431D40">
              <w:rPr>
                <w:rFonts w:cs="Arial"/>
                <w:color w:val="404040"/>
                <w:sz w:val="20"/>
                <w:szCs w:val="20"/>
                <w:lang w:val="en-US" w:eastAsia="de-AT"/>
              </w:rPr>
              <w:t xml:space="preserve">The majority of all individual farms in the EU participating in the above-mentioned Cross Compliance / Conditionality program commit themselves to follow the defined requirements – each Member State has to implement a controlling body/system that controls and monitors the performance of the participating </w:t>
            </w:r>
            <w:proofErr w:type="gramStart"/>
            <w:r w:rsidRPr="00431D40">
              <w:rPr>
                <w:rFonts w:cs="Arial"/>
                <w:color w:val="404040"/>
                <w:sz w:val="20"/>
                <w:szCs w:val="20"/>
                <w:lang w:val="en-US" w:eastAsia="de-AT"/>
              </w:rPr>
              <w:t>farms;</w:t>
            </w:r>
            <w:proofErr w:type="gramEnd"/>
          </w:p>
          <w:p w14:paraId="3D92001D"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r w:rsidRPr="00431D40">
              <w:rPr>
                <w:rFonts w:cs="Arial"/>
                <w:color w:val="404040"/>
                <w:sz w:val="20"/>
                <w:szCs w:val="20"/>
                <w:lang w:val="en-US" w:eastAsia="de-AT"/>
              </w:rPr>
              <w:t xml:space="preserve">Therefore, some CSL already </w:t>
            </w:r>
            <w:proofErr w:type="spellStart"/>
            <w:r w:rsidRPr="00431D40">
              <w:rPr>
                <w:rFonts w:cs="Arial"/>
                <w:color w:val="404040"/>
                <w:sz w:val="20"/>
                <w:szCs w:val="20"/>
                <w:lang w:val="en-US" w:eastAsia="de-AT"/>
              </w:rPr>
              <w:t>recognise</w:t>
            </w:r>
            <w:proofErr w:type="spellEnd"/>
            <w:r w:rsidRPr="00431D40">
              <w:rPr>
                <w:rFonts w:cs="Arial"/>
                <w:color w:val="404040"/>
                <w:sz w:val="20"/>
                <w:szCs w:val="20"/>
                <w:lang w:val="en-US" w:eastAsia="de-AT"/>
              </w:rPr>
              <w:t xml:space="preserve"> the positive, documented participation in the GAECs/CAP in a way that approx. 2/3rds of the entire CSL Indicators are seen as compliant </w:t>
            </w:r>
            <w:r w:rsidRPr="00431D40">
              <w:rPr>
                <w:rFonts w:eastAsia="Wingdings" w:cs="Arial"/>
                <w:color w:val="404040"/>
                <w:sz w:val="20"/>
                <w:szCs w:val="20"/>
                <w:lang w:val="en-US" w:eastAsia="de-AT"/>
              </w:rPr>
              <w:t>à</w:t>
            </w:r>
            <w:r w:rsidRPr="00431D40">
              <w:rPr>
                <w:rFonts w:cs="Arial"/>
                <w:color w:val="404040"/>
                <w:sz w:val="20"/>
                <w:szCs w:val="20"/>
                <w:lang w:val="en-US" w:eastAsia="de-AT"/>
              </w:rPr>
              <w:t xml:space="preserve"> hence, audits and inspections of farms do have a significantly reduced number of auditable Indicators compared to non-EU farms; this again leads to a shorter audit/inspection time and lower costs         </w:t>
            </w:r>
          </w:p>
        </w:tc>
      </w:tr>
      <w:tr w:rsidR="0023381E" w:rsidRPr="00431D40" w14:paraId="501C33B7" w14:textId="77777777" w:rsidTr="00431D40">
        <w:trPr>
          <w:trHeight w:val="407"/>
        </w:trPr>
        <w:tc>
          <w:tcPr>
            <w:cnfStyle w:val="001000000000" w:firstRow="0" w:lastRow="0" w:firstColumn="1" w:lastColumn="0" w:oddVBand="0" w:evenVBand="0" w:oddHBand="0" w:evenHBand="0" w:firstRowFirstColumn="0" w:firstRowLastColumn="0" w:lastRowFirstColumn="0" w:lastRowLastColumn="0"/>
            <w:tcW w:w="1985" w:type="dxa"/>
          </w:tcPr>
          <w:p w14:paraId="1F9C1C39" w14:textId="77777777" w:rsidR="0023381E" w:rsidRPr="00431D40" w:rsidRDefault="0023381E" w:rsidP="0023381E">
            <w:pPr>
              <w:rPr>
                <w:rFonts w:cs="Arial"/>
                <w:b w:val="0"/>
                <w:bCs w:val="0"/>
                <w:sz w:val="20"/>
                <w:szCs w:val="20"/>
                <w:lang w:val="fr-FR"/>
              </w:rPr>
            </w:pPr>
            <w:r w:rsidRPr="00431D40">
              <w:rPr>
                <w:rFonts w:cs="Arial"/>
                <w:b w:val="0"/>
                <w:bCs w:val="0"/>
                <w:sz w:val="20"/>
                <w:szCs w:val="20"/>
                <w:lang w:val="fr-FR"/>
              </w:rPr>
              <w:t>Agricultural Supplier non-EU</w:t>
            </w:r>
          </w:p>
          <w:p w14:paraId="42F36C48" w14:textId="77777777" w:rsidR="0023381E" w:rsidRPr="00431D40" w:rsidRDefault="0023381E" w:rsidP="0023381E">
            <w:pPr>
              <w:rPr>
                <w:rFonts w:cs="Arial"/>
                <w:b w:val="0"/>
                <w:bCs w:val="0"/>
                <w:sz w:val="20"/>
                <w:szCs w:val="20"/>
                <w:lang w:val="fr-FR"/>
              </w:rPr>
            </w:pPr>
            <w:r w:rsidRPr="00431D40">
              <w:rPr>
                <w:rFonts w:cs="Arial"/>
                <w:b w:val="0"/>
                <w:bCs w:val="0"/>
                <w:sz w:val="20"/>
                <w:szCs w:val="20"/>
                <w:lang w:val="fr-FR"/>
              </w:rPr>
              <w:t>(</w:t>
            </w:r>
            <w:proofErr w:type="spellStart"/>
            <w:r w:rsidRPr="00431D40">
              <w:rPr>
                <w:rFonts w:cs="Arial"/>
                <w:b w:val="0"/>
                <w:bCs w:val="0"/>
                <w:sz w:val="20"/>
                <w:szCs w:val="20"/>
                <w:lang w:val="fr-FR"/>
              </w:rPr>
              <w:t>Individual</w:t>
            </w:r>
            <w:proofErr w:type="spellEnd"/>
            <w:r w:rsidRPr="00431D40">
              <w:rPr>
                <w:rFonts w:cs="Arial"/>
                <w:b w:val="0"/>
                <w:bCs w:val="0"/>
                <w:sz w:val="20"/>
                <w:szCs w:val="20"/>
                <w:lang w:val="fr-FR"/>
              </w:rPr>
              <w:t xml:space="preserve"> </w:t>
            </w:r>
            <w:proofErr w:type="spellStart"/>
            <w:r w:rsidRPr="00431D40">
              <w:rPr>
                <w:rFonts w:cs="Arial"/>
                <w:b w:val="0"/>
                <w:bCs w:val="0"/>
                <w:sz w:val="20"/>
                <w:szCs w:val="20"/>
                <w:lang w:val="fr-FR"/>
              </w:rPr>
              <w:t>Farm</w:t>
            </w:r>
            <w:proofErr w:type="spellEnd"/>
            <w:r w:rsidRPr="00431D40">
              <w:rPr>
                <w:rFonts w:cs="Arial"/>
                <w:b w:val="0"/>
                <w:bCs w:val="0"/>
                <w:sz w:val="20"/>
                <w:szCs w:val="20"/>
                <w:lang w:val="fr-FR"/>
              </w:rPr>
              <w:t>)</w:t>
            </w:r>
          </w:p>
        </w:tc>
        <w:tc>
          <w:tcPr>
            <w:tcW w:w="7087" w:type="dxa"/>
          </w:tcPr>
          <w:p w14:paraId="0F8DDB21"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b/>
                <w:sz w:val="20"/>
                <w:szCs w:val="20"/>
                <w:lang w:val="en-US"/>
              </w:rPr>
            </w:pPr>
            <w:r w:rsidRPr="00431D40">
              <w:rPr>
                <w:rFonts w:cs="Arial"/>
                <w:color w:val="404040"/>
                <w:sz w:val="20"/>
                <w:szCs w:val="20"/>
                <w:lang w:val="en-US" w:eastAsia="de-AT"/>
              </w:rPr>
              <w:t xml:space="preserve">Since there are no comparable respectively accepted programs outside the EU, all Criteria and Indicators are applicable to be audited </w:t>
            </w:r>
            <w:r w:rsidRPr="00431D40">
              <w:rPr>
                <w:rFonts w:eastAsia="Wingdings" w:cs="Arial"/>
                <w:color w:val="404040"/>
                <w:sz w:val="20"/>
                <w:szCs w:val="20"/>
                <w:lang w:val="en-US" w:eastAsia="de-AT"/>
              </w:rPr>
              <w:t>à</w:t>
            </w:r>
            <w:r w:rsidRPr="00431D40">
              <w:rPr>
                <w:rFonts w:cs="Arial"/>
                <w:color w:val="404040"/>
                <w:sz w:val="20"/>
                <w:szCs w:val="20"/>
                <w:lang w:val="en-US" w:eastAsia="de-AT"/>
              </w:rPr>
              <w:t xml:space="preserve"> in this case, the audit and inspection time is significantly longer and therefore also more expensive</w:t>
            </w:r>
          </w:p>
        </w:tc>
      </w:tr>
      <w:tr w:rsidR="0023381E" w:rsidRPr="00431D40" w14:paraId="108E9B2A"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64F8CC32"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Collecting Point</w:t>
            </w:r>
          </w:p>
          <w:p w14:paraId="37BE7667"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(CP / Group Certification)</w:t>
            </w:r>
          </w:p>
        </w:tc>
        <w:tc>
          <w:tcPr>
            <w:tcW w:w="7087" w:type="dxa"/>
          </w:tcPr>
          <w:p w14:paraId="20D117E6"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r w:rsidRPr="00431D40">
              <w:rPr>
                <w:rFonts w:cs="Arial"/>
                <w:color w:val="404040"/>
                <w:sz w:val="20"/>
                <w:szCs w:val="20"/>
                <w:lang w:val="en-US" w:eastAsia="de-AT"/>
              </w:rPr>
              <w:t xml:space="preserve">A Collecting Point is an operational unit (same as FGP) that does not source agricultural material but collects Waste &amp; Residues; the auditing process is </w:t>
            </w:r>
            <w:proofErr w:type="gramStart"/>
            <w:r w:rsidRPr="00431D40">
              <w:rPr>
                <w:rFonts w:cs="Arial"/>
                <w:color w:val="404040"/>
                <w:sz w:val="20"/>
                <w:szCs w:val="20"/>
                <w:lang w:val="en-US" w:eastAsia="de-AT"/>
              </w:rPr>
              <w:t>similar to</w:t>
            </w:r>
            <w:proofErr w:type="gramEnd"/>
            <w:r w:rsidRPr="00431D40">
              <w:rPr>
                <w:rFonts w:cs="Arial"/>
                <w:color w:val="404040"/>
                <w:sz w:val="20"/>
                <w:szCs w:val="20"/>
                <w:lang w:val="en-US" w:eastAsia="de-AT"/>
              </w:rPr>
              <w:t xml:space="preserve"> the FGP. However, the random sample of supplier audits depends on their size and risk category; since there is no CC for Waste &amp; Residues, the audit process is the same within the EU and outside the EU; </w:t>
            </w:r>
            <w:proofErr w:type="gramStart"/>
            <w:r w:rsidRPr="00431D40">
              <w:rPr>
                <w:rFonts w:cs="Arial"/>
                <w:color w:val="404040"/>
                <w:sz w:val="20"/>
                <w:szCs w:val="20"/>
                <w:lang w:val="en-US" w:eastAsia="de-AT"/>
              </w:rPr>
              <w:t>CP’s</w:t>
            </w:r>
            <w:proofErr w:type="gramEnd"/>
            <w:r w:rsidRPr="00431D40">
              <w:rPr>
                <w:rFonts w:cs="Arial"/>
                <w:color w:val="404040"/>
                <w:sz w:val="20"/>
                <w:szCs w:val="20"/>
                <w:lang w:val="en-US" w:eastAsia="de-AT"/>
              </w:rPr>
              <w:t xml:space="preserve"> are mainly coming under the EU RED Systems</w:t>
            </w:r>
          </w:p>
        </w:tc>
      </w:tr>
      <w:tr w:rsidR="0023381E" w:rsidRPr="00431D40" w14:paraId="385D3536" w14:textId="77777777" w:rsidTr="00431D40">
        <w:tc>
          <w:tcPr>
            <w:cnfStyle w:val="001000000000" w:firstRow="0" w:lastRow="0" w:firstColumn="1" w:lastColumn="0" w:oddVBand="0" w:evenVBand="0" w:oddHBand="0" w:evenHBand="0" w:firstRowFirstColumn="0" w:firstRowLastColumn="0" w:lastRowFirstColumn="0" w:lastRowLastColumn="0"/>
            <w:tcW w:w="1985" w:type="dxa"/>
          </w:tcPr>
          <w:p w14:paraId="49E34E1C"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Cross Compliance / CC</w:t>
            </w:r>
          </w:p>
          <w:p w14:paraId="30385653"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(Conditionality is the new term now!)</w:t>
            </w:r>
          </w:p>
        </w:tc>
        <w:tc>
          <w:tcPr>
            <w:tcW w:w="7087" w:type="dxa"/>
          </w:tcPr>
          <w:p w14:paraId="7C5472EF"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proofErr w:type="gramStart"/>
            <w:r w:rsidRPr="00431D40">
              <w:rPr>
                <w:rFonts w:cs="Arial"/>
                <w:color w:val="404040"/>
                <w:sz w:val="20"/>
                <w:szCs w:val="20"/>
                <w:lang w:val="en-US" w:eastAsia="de-AT"/>
              </w:rPr>
              <w:t>In order to</w:t>
            </w:r>
            <w:proofErr w:type="gramEnd"/>
            <w:r w:rsidRPr="00431D40">
              <w:rPr>
                <w:rFonts w:cs="Arial"/>
                <w:color w:val="404040"/>
                <w:sz w:val="20"/>
                <w:szCs w:val="20"/>
                <w:lang w:val="en-US" w:eastAsia="de-AT"/>
              </w:rPr>
              <w:t xml:space="preserve"> receive EU income support, farmers must respect a set of basic rules. The interplay between this respect for rules and the support provided to farmers is called conditionality. </w:t>
            </w:r>
          </w:p>
          <w:p w14:paraId="4ECA3149"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p>
          <w:p w14:paraId="3DD19E1A"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r w:rsidRPr="00431D40">
              <w:rPr>
                <w:rFonts w:cs="Arial"/>
                <w:color w:val="404040"/>
                <w:sz w:val="20"/>
                <w:szCs w:val="20"/>
                <w:lang w:val="en-US" w:eastAsia="de-AT"/>
              </w:rPr>
              <w:t>Rules farmers are expected to comply with include: </w:t>
            </w:r>
          </w:p>
          <w:p w14:paraId="2DAB2A75" w14:textId="77777777" w:rsidR="0023381E" w:rsidRPr="00431D40" w:rsidRDefault="0023381E" w:rsidP="0023381E">
            <w:pPr>
              <w:numPr>
                <w:ilvl w:val="0"/>
                <w:numId w:val="13"/>
              </w:numPr>
              <w:ind w:left="0"/>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r w:rsidRPr="00431D40">
              <w:rPr>
                <w:rFonts w:cs="Arial"/>
                <w:color w:val="404040"/>
                <w:sz w:val="20"/>
                <w:szCs w:val="20"/>
                <w:lang w:val="en-US" w:eastAsia="de-AT"/>
              </w:rPr>
              <w:t xml:space="preserve">- Statutory Management Requirements (SMRs). These apply to all farmers </w:t>
            </w:r>
            <w:r w:rsidRPr="00431D40">
              <w:rPr>
                <w:rFonts w:cs="Arial"/>
                <w:color w:val="404040"/>
                <w:sz w:val="20"/>
                <w:szCs w:val="20"/>
                <w:lang w:val="en-US" w:eastAsia="de-AT"/>
              </w:rPr>
              <w:tab/>
            </w:r>
            <w:proofErr w:type="gramStart"/>
            <w:r w:rsidRPr="00431D40">
              <w:rPr>
                <w:rFonts w:cs="Arial"/>
                <w:color w:val="404040"/>
                <w:sz w:val="20"/>
                <w:szCs w:val="20"/>
                <w:lang w:val="en-US" w:eastAsia="de-AT"/>
              </w:rPr>
              <w:t>whether or not</w:t>
            </w:r>
            <w:proofErr w:type="gramEnd"/>
            <w:r w:rsidRPr="00431D40">
              <w:rPr>
                <w:rFonts w:cs="Arial"/>
                <w:color w:val="404040"/>
                <w:sz w:val="20"/>
                <w:szCs w:val="20"/>
                <w:lang w:val="en-US" w:eastAsia="de-AT"/>
              </w:rPr>
              <w:t xml:space="preserve"> they receive support under the EU’s Common Agricultural Policy (CAP) </w:t>
            </w:r>
          </w:p>
          <w:p w14:paraId="1A888A45" w14:textId="77777777" w:rsidR="0023381E" w:rsidRPr="00431D40" w:rsidRDefault="0023381E" w:rsidP="0023381E">
            <w:pPr>
              <w:numPr>
                <w:ilvl w:val="0"/>
                <w:numId w:val="14"/>
              </w:numPr>
              <w:ind w:left="0"/>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r w:rsidRPr="00431D40">
              <w:rPr>
                <w:rFonts w:cs="Arial"/>
                <w:color w:val="404040"/>
                <w:sz w:val="20"/>
                <w:szCs w:val="20"/>
                <w:lang w:val="en-US" w:eastAsia="de-AT"/>
              </w:rPr>
              <w:t xml:space="preserve">- Good Agricultural and Environmental Conditions (GAECs). These applies </w:t>
            </w:r>
            <w:r w:rsidRPr="00431D40">
              <w:rPr>
                <w:rFonts w:cs="Arial"/>
                <w:color w:val="404040"/>
                <w:sz w:val="20"/>
                <w:szCs w:val="20"/>
                <w:lang w:val="en-US" w:eastAsia="de-AT"/>
              </w:rPr>
              <w:tab/>
              <w:t>only to farmers receiving support under the CAP. </w:t>
            </w:r>
          </w:p>
          <w:p w14:paraId="032D42A6"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p>
          <w:p w14:paraId="7A629C03"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color w:val="404040"/>
                <w:sz w:val="20"/>
                <w:szCs w:val="20"/>
                <w:lang w:val="en-US" w:eastAsia="de-AT"/>
              </w:rPr>
            </w:pPr>
            <w:r w:rsidRPr="00431D40">
              <w:rPr>
                <w:rFonts w:cs="Arial"/>
                <w:color w:val="404040"/>
                <w:sz w:val="20"/>
                <w:szCs w:val="20"/>
                <w:lang w:val="en-US" w:eastAsia="de-AT"/>
              </w:rPr>
              <w:t xml:space="preserve">Farmers violating EU law relating to environmental, </w:t>
            </w:r>
            <w:proofErr w:type="gramStart"/>
            <w:r w:rsidRPr="00431D40">
              <w:rPr>
                <w:rFonts w:cs="Arial"/>
                <w:color w:val="404040"/>
                <w:sz w:val="20"/>
                <w:szCs w:val="20"/>
                <w:lang w:val="en-US" w:eastAsia="de-AT"/>
              </w:rPr>
              <w:t>public</w:t>
            </w:r>
            <w:proofErr w:type="gramEnd"/>
            <w:r w:rsidRPr="00431D40">
              <w:rPr>
                <w:rFonts w:cs="Arial"/>
                <w:color w:val="404040"/>
                <w:sz w:val="20"/>
                <w:szCs w:val="20"/>
                <w:lang w:val="en-US" w:eastAsia="de-AT"/>
              </w:rPr>
              <w:t xml:space="preserve"> and animal health, animal welfare or land management will have their EU support reduced and may face other penalties.</w:t>
            </w:r>
          </w:p>
          <w:p w14:paraId="34082AC2"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31D40">
              <w:rPr>
                <w:rFonts w:cs="Arial"/>
                <w:color w:val="404040"/>
                <w:sz w:val="20"/>
                <w:szCs w:val="20"/>
                <w:lang w:val="en-US" w:eastAsia="de-AT"/>
              </w:rPr>
              <w:t xml:space="preserve">Details: </w:t>
            </w:r>
            <w:hyperlink r:id="rId19" w:history="1">
              <w:r w:rsidRPr="00431D40">
                <w:rPr>
                  <w:rStyle w:val="Hyperlink"/>
                  <w:rFonts w:cs="Arial"/>
                  <w:sz w:val="20"/>
                  <w:szCs w:val="20"/>
                  <w:lang w:val="en-US" w:eastAsia="de-AT"/>
                </w:rPr>
                <w:t>https://agriculture.ec.europa.eu/common-agricultural-policy/income-support/conditionality_en</w:t>
              </w:r>
            </w:hyperlink>
            <w:r w:rsidRPr="00431D40">
              <w:rPr>
                <w:rFonts w:cs="Arial"/>
                <w:color w:val="404040"/>
                <w:sz w:val="20"/>
                <w:szCs w:val="20"/>
                <w:lang w:val="en-US" w:eastAsia="de-AT"/>
              </w:rPr>
              <w:t xml:space="preserve"> </w:t>
            </w:r>
          </w:p>
        </w:tc>
      </w:tr>
      <w:tr w:rsidR="0023381E" w:rsidRPr="00431D40" w14:paraId="0E79FBA6" w14:textId="77777777" w:rsidTr="00431D40">
        <w:tc>
          <w:tcPr>
            <w:cnfStyle w:val="001000000000" w:firstRow="0" w:lastRow="0" w:firstColumn="1" w:lastColumn="0" w:oddVBand="0" w:evenVBand="0" w:oddHBand="0" w:evenHBand="0" w:firstRowFirstColumn="0" w:firstRowLastColumn="0" w:lastRowFirstColumn="0" w:lastRowLastColumn="0"/>
            <w:tcW w:w="1985" w:type="dxa"/>
            <w:tcBorders>
              <w:bottom w:val="single" w:sz="12" w:space="0" w:color="auto"/>
            </w:tcBorders>
          </w:tcPr>
          <w:p w14:paraId="6ACF1F33"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First Gathering Point</w:t>
            </w:r>
          </w:p>
          <w:p w14:paraId="26ECC56A" w14:textId="77777777" w:rsidR="0023381E" w:rsidRPr="00431D40" w:rsidRDefault="0023381E" w:rsidP="0023381E">
            <w:pPr>
              <w:rPr>
                <w:rFonts w:cs="Arial"/>
                <w:b w:val="0"/>
                <w:bCs w:val="0"/>
                <w:sz w:val="20"/>
                <w:szCs w:val="20"/>
                <w:lang w:val="en-US"/>
              </w:rPr>
            </w:pPr>
            <w:r w:rsidRPr="00431D40">
              <w:rPr>
                <w:rFonts w:cs="Arial"/>
                <w:b w:val="0"/>
                <w:bCs w:val="0"/>
                <w:sz w:val="20"/>
                <w:szCs w:val="20"/>
                <w:lang w:val="en-US"/>
              </w:rPr>
              <w:t>(FMG / Group Certification)</w:t>
            </w:r>
          </w:p>
        </w:tc>
        <w:tc>
          <w:tcPr>
            <w:tcW w:w="7087" w:type="dxa"/>
            <w:tcBorders>
              <w:bottom w:val="single" w:sz="12" w:space="0" w:color="auto"/>
            </w:tcBorders>
          </w:tcPr>
          <w:p w14:paraId="645E3DE9" w14:textId="77777777" w:rsidR="0023381E" w:rsidRPr="00431D40" w:rsidRDefault="0023381E" w:rsidP="0023381E">
            <w:pPr>
              <w:cnfStyle w:val="000000000000" w:firstRow="0" w:lastRow="0" w:firstColumn="0" w:lastColumn="0" w:oddVBand="0" w:evenVBand="0" w:oddHBand="0" w:evenHBand="0" w:firstRowFirstColumn="0" w:firstRowLastColumn="0" w:lastRowFirstColumn="0" w:lastRowLastColumn="0"/>
              <w:rPr>
                <w:rFonts w:cs="Arial"/>
                <w:sz w:val="20"/>
                <w:szCs w:val="20"/>
                <w:lang w:val="en-US"/>
              </w:rPr>
            </w:pPr>
            <w:r w:rsidRPr="00431D40">
              <w:rPr>
                <w:rFonts w:cs="Arial"/>
                <w:color w:val="404040"/>
                <w:sz w:val="20"/>
                <w:szCs w:val="20"/>
                <w:lang w:val="en-US" w:eastAsia="de-AT"/>
              </w:rPr>
              <w:t>A First Gathering Point is an operational unit that purchases agricultural feedstocks from several contracted agricultural suppliers; these suppliers declare via Self-declaration that they comply with the requirements of the specific CSL and/or conduct an annual internal audit which documents the compliance level;  besides the audit of the FGP itself (management system, coordination of suppliers, Traceability, etc.), a certain number of suppliers is selected and externally audited to see whether they comply with the CSL requirements; the CSL defines the size of the random sample of these supplier audits; other names for FGP are also, e.g. Farm Management Group, Farmer Group, etc.</w:t>
            </w:r>
          </w:p>
        </w:tc>
      </w:tr>
    </w:tbl>
    <w:p w14:paraId="78B7C746" w14:textId="77777777" w:rsidR="0023381E" w:rsidRDefault="0023381E" w:rsidP="0023381E">
      <w:pPr>
        <w:shd w:val="clear" w:color="auto" w:fill="FFFFFF"/>
        <w:rPr>
          <w:sz w:val="16"/>
          <w:szCs w:val="16"/>
          <w:lang w:val="en-US"/>
        </w:rPr>
      </w:pPr>
    </w:p>
    <w:p w14:paraId="3D64BC92" w14:textId="77777777" w:rsidR="005E0DB3" w:rsidRPr="0023381E" w:rsidRDefault="005E0DB3" w:rsidP="004B6CE3">
      <w:pPr>
        <w:pStyle w:val="Heading3"/>
      </w:pPr>
      <w:r>
        <w:t xml:space="preserve"> </w:t>
      </w:r>
      <w:bookmarkStart w:id="36" w:name="_Toc166073788"/>
      <w:r>
        <w:t>Definitions and explanations – Indirect costs</w:t>
      </w:r>
      <w:bookmarkEnd w:id="36"/>
    </w:p>
    <w:p w14:paraId="5CA2F57E" w14:textId="77777777" w:rsidR="00A01447" w:rsidRDefault="00FC1B34" w:rsidP="00A01447">
      <w:pPr>
        <w:shd w:val="clear" w:color="auto" w:fill="FFFFFF"/>
        <w:ind w:right="-285"/>
        <w:rPr>
          <w:lang w:val="en-US"/>
        </w:rPr>
      </w:pPr>
      <w:r>
        <w:rPr>
          <w:lang w:val="en-US"/>
        </w:rPr>
        <w:fldChar w:fldCharType="begin"/>
      </w:r>
      <w:r>
        <w:rPr>
          <w:lang w:val="en-US"/>
        </w:rPr>
        <w:instrText xml:space="preserve"> REF _Ref167446875 \h </w:instrText>
      </w:r>
      <w:r>
        <w:rPr>
          <w:lang w:val="en-US"/>
        </w:rPr>
      </w:r>
      <w:r>
        <w:rPr>
          <w:lang w:val="en-US"/>
        </w:rPr>
        <w:fldChar w:fldCharType="separate"/>
      </w:r>
      <w:r w:rsidR="005F7B06">
        <w:t xml:space="preserve">Table </w:t>
      </w:r>
      <w:r w:rsidR="005F7B06">
        <w:rPr>
          <w:noProof/>
        </w:rPr>
        <w:t>7</w:t>
      </w:r>
      <w:r>
        <w:rPr>
          <w:lang w:val="en-US"/>
        </w:rPr>
        <w:fldChar w:fldCharType="end"/>
      </w:r>
      <w:r>
        <w:rPr>
          <w:lang w:val="en-US"/>
        </w:rPr>
        <w:t xml:space="preserve"> provides an overview of the key concepts and definitions for studying the indirect costs of certification. </w:t>
      </w:r>
    </w:p>
    <w:p w14:paraId="72B0D569" w14:textId="77777777" w:rsidR="00FC1B34" w:rsidRDefault="00FC1B34" w:rsidP="00A01447">
      <w:pPr>
        <w:shd w:val="clear" w:color="auto" w:fill="FFFFFF"/>
        <w:ind w:right="-285"/>
        <w:rPr>
          <w:lang w:val="en-US"/>
        </w:rPr>
      </w:pPr>
    </w:p>
    <w:p w14:paraId="04F819E7" w14:textId="77777777" w:rsidR="000131A3" w:rsidRDefault="000131A3" w:rsidP="00886ED6">
      <w:pPr>
        <w:pStyle w:val="Caption"/>
      </w:pPr>
      <w:bookmarkStart w:id="37" w:name="_Ref167446875"/>
      <w:r>
        <w:t xml:space="preserve">Table </w:t>
      </w:r>
      <w:r>
        <w:fldChar w:fldCharType="begin"/>
      </w:r>
      <w:r>
        <w:instrText xml:space="preserve"> SEQ Table \* ARABIC </w:instrText>
      </w:r>
      <w:r>
        <w:fldChar w:fldCharType="separate"/>
      </w:r>
      <w:r w:rsidR="005F7B06">
        <w:rPr>
          <w:noProof/>
        </w:rPr>
        <w:t>7</w:t>
      </w:r>
      <w:r>
        <w:fldChar w:fldCharType="end"/>
      </w:r>
      <w:bookmarkEnd w:id="37"/>
      <w:r>
        <w:t>. Definition of outcome categories related to costs and benefits of certification.</w:t>
      </w:r>
    </w:p>
    <w:tbl>
      <w:tblPr>
        <w:tblStyle w:val="GridTable1Light"/>
        <w:tblW w:w="0" w:type="auto"/>
        <w:tblLook w:val="04A0" w:firstRow="1" w:lastRow="0" w:firstColumn="1" w:lastColumn="0" w:noHBand="0" w:noVBand="1"/>
      </w:tblPr>
      <w:tblGrid>
        <w:gridCol w:w="2263"/>
        <w:gridCol w:w="6753"/>
      </w:tblGrid>
      <w:tr w:rsidR="000131A3" w:rsidRPr="00D91CE8" w14:paraId="78DE56E6" w14:textId="77777777" w:rsidTr="00431D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3D067707" w14:textId="77777777" w:rsidR="000131A3" w:rsidRPr="00D91CE8" w:rsidRDefault="000131A3" w:rsidP="00B2350B">
            <w:pPr>
              <w:jc w:val="both"/>
              <w:rPr>
                <w:rFonts w:cs="Open Sans"/>
                <w:b w:val="0"/>
                <w:bCs w:val="0"/>
                <w:sz w:val="20"/>
                <w:szCs w:val="20"/>
              </w:rPr>
            </w:pPr>
            <w:r w:rsidRPr="00D91CE8">
              <w:rPr>
                <w:rFonts w:cs="Open Sans"/>
                <w:sz w:val="20"/>
                <w:szCs w:val="20"/>
              </w:rPr>
              <w:t>Outcome category</w:t>
            </w:r>
          </w:p>
        </w:tc>
        <w:tc>
          <w:tcPr>
            <w:tcW w:w="6753" w:type="dxa"/>
          </w:tcPr>
          <w:p w14:paraId="3C1125A7" w14:textId="77777777" w:rsidR="000131A3" w:rsidRPr="00D91CE8" w:rsidRDefault="000131A3" w:rsidP="00B2350B">
            <w:pPr>
              <w:jc w:val="both"/>
              <w:cnfStyle w:val="100000000000" w:firstRow="1" w:lastRow="0" w:firstColumn="0" w:lastColumn="0" w:oddVBand="0" w:evenVBand="0" w:oddHBand="0" w:evenHBand="0" w:firstRowFirstColumn="0" w:firstRowLastColumn="0" w:lastRowFirstColumn="0" w:lastRowLastColumn="0"/>
              <w:rPr>
                <w:rFonts w:cs="Open Sans"/>
                <w:b w:val="0"/>
                <w:bCs w:val="0"/>
                <w:sz w:val="20"/>
                <w:szCs w:val="20"/>
              </w:rPr>
            </w:pPr>
            <w:r w:rsidRPr="00D91CE8">
              <w:rPr>
                <w:rFonts w:cs="Open Sans"/>
                <w:sz w:val="20"/>
                <w:szCs w:val="20"/>
              </w:rPr>
              <w:t>Description</w:t>
            </w:r>
          </w:p>
        </w:tc>
      </w:tr>
      <w:tr w:rsidR="000131A3" w:rsidRPr="002562D9" w14:paraId="15D4B17C"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04B8B097"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Direct cost</w:t>
            </w:r>
          </w:p>
        </w:tc>
        <w:tc>
          <w:tcPr>
            <w:tcW w:w="6753" w:type="dxa"/>
          </w:tcPr>
          <w:p w14:paraId="3C5B4E39"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Costs directly requested by the CSL, such as certificate fee, auditing costs, etc.</w:t>
            </w:r>
          </w:p>
        </w:tc>
      </w:tr>
      <w:tr w:rsidR="000131A3" w:rsidRPr="002562D9" w14:paraId="376457CD"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1BA98E2F"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Indirect cost</w:t>
            </w:r>
          </w:p>
        </w:tc>
        <w:tc>
          <w:tcPr>
            <w:tcW w:w="6753" w:type="dxa"/>
          </w:tcPr>
          <w:p w14:paraId="52C05406"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Costs of meeting the sustainability requirements set by the CSL (investments to upgrade management system, production techniques, new machinery, etc.)</w:t>
            </w:r>
          </w:p>
        </w:tc>
      </w:tr>
      <w:tr w:rsidR="000131A3" w:rsidRPr="002562D9" w14:paraId="73182D3A"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1F892359"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Productivity</w:t>
            </w:r>
          </w:p>
        </w:tc>
        <w:tc>
          <w:tcPr>
            <w:tcW w:w="6753" w:type="dxa"/>
          </w:tcPr>
          <w:p w14:paraId="6B1DD8EF"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 xml:space="preserve">Usually measured as crop output over </w:t>
            </w:r>
            <w:proofErr w:type="gramStart"/>
            <w:r w:rsidRPr="00D91CE8">
              <w:rPr>
                <w:rFonts w:cs="Open Sans"/>
                <w:sz w:val="20"/>
                <w:szCs w:val="20"/>
              </w:rPr>
              <w:t>a period of time</w:t>
            </w:r>
            <w:proofErr w:type="gramEnd"/>
          </w:p>
        </w:tc>
      </w:tr>
      <w:tr w:rsidR="000131A3" w:rsidRPr="002562D9" w14:paraId="4BE3C562"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018BF333"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Revenue</w:t>
            </w:r>
          </w:p>
        </w:tc>
        <w:tc>
          <w:tcPr>
            <w:tcW w:w="6753" w:type="dxa"/>
          </w:tcPr>
          <w:p w14:paraId="70FD9902"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Total amount of income generated by the sale of products</w:t>
            </w:r>
          </w:p>
        </w:tc>
      </w:tr>
      <w:tr w:rsidR="000131A3" w:rsidRPr="00D91CE8" w14:paraId="2714EB4F"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7C1815F1"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Income</w:t>
            </w:r>
          </w:p>
        </w:tc>
        <w:tc>
          <w:tcPr>
            <w:tcW w:w="6753" w:type="dxa"/>
          </w:tcPr>
          <w:p w14:paraId="430EBA7B"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Revenue - Costs</w:t>
            </w:r>
          </w:p>
        </w:tc>
      </w:tr>
      <w:tr w:rsidR="000131A3" w:rsidRPr="002562D9" w14:paraId="2B865DA3"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6893FB61"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Market access</w:t>
            </w:r>
          </w:p>
        </w:tc>
        <w:tc>
          <w:tcPr>
            <w:tcW w:w="6753" w:type="dxa"/>
          </w:tcPr>
          <w:p w14:paraId="101FB599"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The ability of a company to enter the market and sell their goods</w:t>
            </w:r>
          </w:p>
        </w:tc>
      </w:tr>
      <w:tr w:rsidR="000131A3" w:rsidRPr="002562D9" w14:paraId="702F61ED"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5CC312C0"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Price premium</w:t>
            </w:r>
          </w:p>
        </w:tc>
        <w:tc>
          <w:tcPr>
            <w:tcW w:w="6753" w:type="dxa"/>
          </w:tcPr>
          <w:p w14:paraId="42B3361A"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 xml:space="preserve">Difference in price between a certified product and the uncertified equivalent </w:t>
            </w:r>
          </w:p>
        </w:tc>
      </w:tr>
      <w:tr w:rsidR="000131A3" w:rsidRPr="002562D9" w14:paraId="23A18299"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64CCC32C"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 xml:space="preserve">Health </w:t>
            </w:r>
          </w:p>
        </w:tc>
        <w:tc>
          <w:tcPr>
            <w:tcW w:w="6753" w:type="dxa"/>
          </w:tcPr>
          <w:p w14:paraId="1E68556A"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The impact of certification on the health of people working in companies (i.e., illness rate, access to healthcare, safety in the workplace)</w:t>
            </w:r>
          </w:p>
        </w:tc>
      </w:tr>
      <w:tr w:rsidR="000131A3" w:rsidRPr="002562D9" w14:paraId="0E31FDF4"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061BFF2D"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Education</w:t>
            </w:r>
          </w:p>
        </w:tc>
        <w:tc>
          <w:tcPr>
            <w:tcW w:w="6753" w:type="dxa"/>
          </w:tcPr>
          <w:p w14:paraId="7B1921C8"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Assessment of whether certification improves access to education of people working in the companies and their households (i.e., years of schooling of children in farmers households, school drop-out rates, access to trainings, etc.)</w:t>
            </w:r>
          </w:p>
        </w:tc>
      </w:tr>
      <w:tr w:rsidR="000131A3" w:rsidRPr="002562D9" w14:paraId="6C0728AF"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2EE83CB4"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Poverty reduction</w:t>
            </w:r>
          </w:p>
        </w:tc>
        <w:tc>
          <w:tcPr>
            <w:tcW w:w="6753" w:type="dxa"/>
          </w:tcPr>
          <w:p w14:paraId="1E6D8EAC"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Measures whether certification has a positive impact on poverty of people living in certified areas (i.e., number of people living under poverty line)</w:t>
            </w:r>
          </w:p>
        </w:tc>
      </w:tr>
      <w:tr w:rsidR="000131A3" w:rsidRPr="002562D9" w14:paraId="66EA1E51"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69B0B75C"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 xml:space="preserve">Labour condition </w:t>
            </w:r>
          </w:p>
        </w:tc>
        <w:tc>
          <w:tcPr>
            <w:tcW w:w="6753" w:type="dxa"/>
          </w:tcPr>
          <w:p w14:paraId="3B7732F1"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Covers workers’ conditions such as salary, employment conditions, etc.</w:t>
            </w:r>
          </w:p>
        </w:tc>
      </w:tr>
      <w:tr w:rsidR="000131A3" w:rsidRPr="002562D9" w14:paraId="71092A3D" w14:textId="77777777" w:rsidTr="00431D40">
        <w:tc>
          <w:tcPr>
            <w:cnfStyle w:val="001000000000" w:firstRow="0" w:lastRow="0" w:firstColumn="1" w:lastColumn="0" w:oddVBand="0" w:evenVBand="0" w:oddHBand="0" w:evenHBand="0" w:firstRowFirstColumn="0" w:firstRowLastColumn="0" w:lastRowFirstColumn="0" w:lastRowLastColumn="0"/>
            <w:tcW w:w="2263" w:type="dxa"/>
          </w:tcPr>
          <w:p w14:paraId="3E99F04E" w14:textId="77777777" w:rsidR="000131A3" w:rsidRPr="00431D40" w:rsidRDefault="000131A3" w:rsidP="00B2350B">
            <w:pPr>
              <w:jc w:val="both"/>
              <w:rPr>
                <w:rFonts w:cs="Open Sans"/>
                <w:b w:val="0"/>
                <w:bCs w:val="0"/>
                <w:sz w:val="20"/>
                <w:szCs w:val="20"/>
              </w:rPr>
            </w:pPr>
            <w:r w:rsidRPr="00431D40">
              <w:rPr>
                <w:rFonts w:cs="Open Sans"/>
                <w:b w:val="0"/>
                <w:bCs w:val="0"/>
                <w:sz w:val="20"/>
                <w:szCs w:val="20"/>
              </w:rPr>
              <w:t>Well-being</w:t>
            </w:r>
          </w:p>
        </w:tc>
        <w:tc>
          <w:tcPr>
            <w:tcW w:w="6753" w:type="dxa"/>
          </w:tcPr>
          <w:p w14:paraId="32A4A2E0" w14:textId="77777777" w:rsidR="000131A3" w:rsidRPr="00D91CE8" w:rsidRDefault="000131A3" w:rsidP="00B2350B">
            <w:pPr>
              <w:jc w:val="both"/>
              <w:cnfStyle w:val="000000000000" w:firstRow="0" w:lastRow="0" w:firstColumn="0" w:lastColumn="0" w:oddVBand="0" w:evenVBand="0" w:oddHBand="0" w:evenHBand="0" w:firstRowFirstColumn="0" w:firstRowLastColumn="0" w:lastRowFirstColumn="0" w:lastRowLastColumn="0"/>
              <w:rPr>
                <w:rFonts w:cs="Open Sans"/>
                <w:sz w:val="20"/>
                <w:szCs w:val="20"/>
              </w:rPr>
            </w:pPr>
            <w:r w:rsidRPr="00D91CE8">
              <w:rPr>
                <w:rFonts w:cs="Open Sans"/>
                <w:sz w:val="20"/>
                <w:szCs w:val="20"/>
              </w:rPr>
              <w:t xml:space="preserve">Broad category covering a </w:t>
            </w:r>
            <w:bookmarkStart w:id="38" w:name="_Hlk151389218"/>
            <w:r w:rsidRPr="00D91CE8">
              <w:rPr>
                <w:rFonts w:cs="Open Sans"/>
                <w:sz w:val="20"/>
                <w:szCs w:val="20"/>
              </w:rPr>
              <w:t>variety of variables that impact the well-being of people and/or could not be included in the other outcome categories (i.e., social relations, satisfaction, access to basic needs, social mechanism, etc.)</w:t>
            </w:r>
            <w:bookmarkEnd w:id="38"/>
          </w:p>
        </w:tc>
      </w:tr>
    </w:tbl>
    <w:p w14:paraId="07A64F37" w14:textId="77777777" w:rsidR="00043079" w:rsidRPr="0023381E" w:rsidRDefault="00043079" w:rsidP="000131A3">
      <w:pPr>
        <w:shd w:val="clear" w:color="auto" w:fill="FFFFFF"/>
        <w:ind w:right="-285"/>
        <w:rPr>
          <w:lang w:val="en-US"/>
        </w:rPr>
      </w:pPr>
    </w:p>
    <w:sectPr w:rsidR="00043079" w:rsidRPr="0023381E" w:rsidSect="00617828">
      <w:headerReference w:type="default" r:id="rId20"/>
      <w:footerReference w:type="default" r:id="rId21"/>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41E59" w14:textId="77777777" w:rsidR="00FD3263" w:rsidRDefault="00FD3263" w:rsidP="000956E5">
      <w:pPr>
        <w:spacing w:after="0" w:line="240" w:lineRule="auto"/>
      </w:pPr>
      <w:r>
        <w:separator/>
      </w:r>
    </w:p>
  </w:endnote>
  <w:endnote w:type="continuationSeparator" w:id="0">
    <w:p w14:paraId="2DF40C93" w14:textId="77777777" w:rsidR="00FD3263" w:rsidRDefault="00FD3263" w:rsidP="000956E5">
      <w:pPr>
        <w:spacing w:after="0" w:line="240" w:lineRule="auto"/>
      </w:pPr>
      <w:r>
        <w:continuationSeparator/>
      </w:r>
    </w:p>
  </w:endnote>
  <w:endnote w:type="continuationNotice" w:id="1">
    <w:p w14:paraId="57653EEE" w14:textId="77777777" w:rsidR="00FD3263" w:rsidRDefault="00FD32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4773783"/>
      <w:docPartObj>
        <w:docPartGallery w:val="Page Numbers (Bottom of Page)"/>
        <w:docPartUnique/>
      </w:docPartObj>
    </w:sdtPr>
    <w:sdtEndPr>
      <w:rPr>
        <w:noProof/>
      </w:rPr>
    </w:sdtEndPr>
    <w:sdtContent>
      <w:p w14:paraId="52E915C2" w14:textId="77777777" w:rsidR="00EE1C0B" w:rsidRDefault="00EE1C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F4976E" w14:textId="77777777" w:rsidR="000956E5" w:rsidRPr="008A7995" w:rsidRDefault="00000000" w:rsidP="008A7995">
    <w:pPr>
      <w:pStyle w:val="Footer"/>
    </w:pPr>
    <w:sdt>
      <w:sdtPr>
        <w:alias w:val="Title"/>
        <w:tag w:val=""/>
        <w:id w:val="323937358"/>
        <w:dataBinding w:prefixMappings="xmlns:ns0='http://purl.org/dc/elements/1.1/' xmlns:ns1='http://schemas.openxmlformats.org/package/2006/metadata/core-properties' " w:xpath="/ns1:coreProperties[1]/ns0:title[1]" w:storeItemID="{6C3C8BC8-F283-45AE-878A-BAB7291924A1}"/>
        <w:text/>
      </w:sdtPr>
      <w:sdtContent>
        <w:r w:rsidR="006956E5">
          <w:t>D6.1</w:t>
        </w:r>
      </w:sdtContent>
    </w:sdt>
    <w:r w:rsidR="00EE1C0B">
      <w:t xml:space="preserve"> </w:t>
    </w:r>
    <w:r w:rsidR="00992599">
      <w:t xml:space="preserve">- </w:t>
    </w:r>
    <w:sdt>
      <w:sdtPr>
        <w:alias w:val="Subject"/>
        <w:tag w:val=""/>
        <w:id w:val="460927054"/>
        <w:dataBinding w:prefixMappings="xmlns:ns0='http://purl.org/dc/elements/1.1/' xmlns:ns1='http://schemas.openxmlformats.org/package/2006/metadata/core-properties' " w:xpath="/ns1:coreProperties[1]/ns0:subject[1]" w:storeItemID="{6C3C8BC8-F283-45AE-878A-BAB7291924A1}"/>
        <w:text/>
      </w:sdtPr>
      <w:sdtContent>
        <w:r w:rsidR="006956E5">
          <w:t>Online database with (in)direct costs and benefits</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57116" w14:textId="77777777" w:rsidR="00FD3263" w:rsidRDefault="00FD3263" w:rsidP="000956E5">
      <w:pPr>
        <w:spacing w:after="0" w:line="240" w:lineRule="auto"/>
      </w:pPr>
      <w:r>
        <w:separator/>
      </w:r>
    </w:p>
  </w:footnote>
  <w:footnote w:type="continuationSeparator" w:id="0">
    <w:p w14:paraId="321453E9" w14:textId="77777777" w:rsidR="00FD3263" w:rsidRDefault="00FD3263" w:rsidP="000956E5">
      <w:pPr>
        <w:spacing w:after="0" w:line="240" w:lineRule="auto"/>
      </w:pPr>
      <w:r>
        <w:continuationSeparator/>
      </w:r>
    </w:p>
  </w:footnote>
  <w:footnote w:type="continuationNotice" w:id="1">
    <w:p w14:paraId="5351FFC5" w14:textId="77777777" w:rsidR="00FD3263" w:rsidRDefault="00FD326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E602E" w14:textId="77777777" w:rsidR="00DC2AA1" w:rsidRDefault="00013BEB" w:rsidP="00DC2AA1">
    <w:pPr>
      <w:pStyle w:val="Header"/>
    </w:pPr>
    <w:r>
      <w:rPr>
        <w:noProof/>
      </w:rPr>
      <w:drawing>
        <wp:anchor distT="0" distB="0" distL="114300" distR="114300" simplePos="0" relativeHeight="251658240" behindDoc="0" locked="0" layoutInCell="1" allowOverlap="1" wp14:anchorId="065C918F" wp14:editId="2848D7A5">
          <wp:simplePos x="0" y="0"/>
          <wp:positionH relativeFrom="margin">
            <wp:align>left</wp:align>
          </wp:positionH>
          <wp:positionV relativeFrom="paragraph">
            <wp:posOffset>-635</wp:posOffset>
          </wp:positionV>
          <wp:extent cx="1554480" cy="325120"/>
          <wp:effectExtent l="0" t="0" r="762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4480" cy="3251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C2AA1">
      <w:t xml:space="preserve"> </w:t>
    </w:r>
    <w:r w:rsidR="00DC2AA1">
      <w:rPr>
        <w:noProof/>
      </w:rPr>
      <w:t xml:space="preserve">                                  </w:t>
    </w:r>
    <w:r>
      <w:rPr>
        <w:noProof/>
      </w:rPr>
      <w:drawing>
        <wp:inline distT="0" distB="0" distL="0" distR="0" wp14:anchorId="0D858D5E" wp14:editId="578CFA02">
          <wp:extent cx="2179324" cy="286513"/>
          <wp:effectExtent l="0" t="0" r="0" b="0"/>
          <wp:docPr id="8" name="Picture 8" descr="A picture containing font, graphics, typography,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picture containing font, graphics, typography, design&#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179324" cy="286513"/>
                  </a:xfrm>
                  <a:prstGeom prst="rect">
                    <a:avLst/>
                  </a:prstGeom>
                </pic:spPr>
              </pic:pic>
            </a:graphicData>
          </a:graphic>
        </wp:inline>
      </w:drawing>
    </w:r>
    <w:r w:rsidR="00DC2AA1">
      <w:rPr>
        <w:noProof/>
      </w:rPr>
      <w:t xml:space="preserve">                       </w:t>
    </w:r>
  </w:p>
  <w:p w14:paraId="033CA5F9" w14:textId="77777777" w:rsidR="000956E5" w:rsidRDefault="000956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4A4D"/>
    <w:multiLevelType w:val="hybridMultilevel"/>
    <w:tmpl w:val="3D72B2D6"/>
    <w:lvl w:ilvl="0" w:tplc="3B28BC7C">
      <w:start w:val="1"/>
      <w:numFmt w:val="bullet"/>
      <w:lvlText w:val=""/>
      <w:lvlJc w:val="left"/>
      <w:pPr>
        <w:ind w:left="720" w:hanging="360"/>
      </w:pPr>
      <w:rPr>
        <w:rFonts w:ascii="Symbol" w:hAnsi="Symbol" w:hint="default"/>
      </w:rPr>
    </w:lvl>
    <w:lvl w:ilvl="1" w:tplc="68C0FE3A">
      <w:start w:val="1"/>
      <w:numFmt w:val="bullet"/>
      <w:lvlText w:val="o"/>
      <w:lvlJc w:val="left"/>
      <w:pPr>
        <w:ind w:left="1440" w:hanging="360"/>
      </w:pPr>
      <w:rPr>
        <w:rFonts w:ascii="Courier New" w:hAnsi="Courier New" w:hint="default"/>
      </w:rPr>
    </w:lvl>
    <w:lvl w:ilvl="2" w:tplc="B59CA6E8">
      <w:start w:val="1"/>
      <w:numFmt w:val="bullet"/>
      <w:lvlText w:val=""/>
      <w:lvlJc w:val="left"/>
      <w:pPr>
        <w:ind w:left="2160" w:hanging="360"/>
      </w:pPr>
      <w:rPr>
        <w:rFonts w:ascii="Wingdings" w:hAnsi="Wingdings" w:hint="default"/>
      </w:rPr>
    </w:lvl>
    <w:lvl w:ilvl="3" w:tplc="AC2A7152">
      <w:start w:val="1"/>
      <w:numFmt w:val="bullet"/>
      <w:lvlText w:val=""/>
      <w:lvlJc w:val="left"/>
      <w:pPr>
        <w:ind w:left="2880" w:hanging="360"/>
      </w:pPr>
      <w:rPr>
        <w:rFonts w:ascii="Symbol" w:hAnsi="Symbol" w:hint="default"/>
      </w:rPr>
    </w:lvl>
    <w:lvl w:ilvl="4" w:tplc="D7127660">
      <w:start w:val="1"/>
      <w:numFmt w:val="bullet"/>
      <w:lvlText w:val="o"/>
      <w:lvlJc w:val="left"/>
      <w:pPr>
        <w:ind w:left="3600" w:hanging="360"/>
      </w:pPr>
      <w:rPr>
        <w:rFonts w:ascii="Courier New" w:hAnsi="Courier New" w:hint="default"/>
      </w:rPr>
    </w:lvl>
    <w:lvl w:ilvl="5" w:tplc="B6BE3D3E">
      <w:start w:val="1"/>
      <w:numFmt w:val="bullet"/>
      <w:lvlText w:val=""/>
      <w:lvlJc w:val="left"/>
      <w:pPr>
        <w:ind w:left="4320" w:hanging="360"/>
      </w:pPr>
      <w:rPr>
        <w:rFonts w:ascii="Wingdings" w:hAnsi="Wingdings" w:hint="default"/>
      </w:rPr>
    </w:lvl>
    <w:lvl w:ilvl="6" w:tplc="BE1A5C7E">
      <w:start w:val="1"/>
      <w:numFmt w:val="bullet"/>
      <w:lvlText w:val=""/>
      <w:lvlJc w:val="left"/>
      <w:pPr>
        <w:ind w:left="5040" w:hanging="360"/>
      </w:pPr>
      <w:rPr>
        <w:rFonts w:ascii="Symbol" w:hAnsi="Symbol" w:hint="default"/>
      </w:rPr>
    </w:lvl>
    <w:lvl w:ilvl="7" w:tplc="CCFC8588">
      <w:start w:val="1"/>
      <w:numFmt w:val="bullet"/>
      <w:lvlText w:val="o"/>
      <w:lvlJc w:val="left"/>
      <w:pPr>
        <w:ind w:left="5760" w:hanging="360"/>
      </w:pPr>
      <w:rPr>
        <w:rFonts w:ascii="Courier New" w:hAnsi="Courier New" w:hint="default"/>
      </w:rPr>
    </w:lvl>
    <w:lvl w:ilvl="8" w:tplc="5A2E15D4">
      <w:start w:val="1"/>
      <w:numFmt w:val="bullet"/>
      <w:lvlText w:val=""/>
      <w:lvlJc w:val="left"/>
      <w:pPr>
        <w:ind w:left="6480" w:hanging="360"/>
      </w:pPr>
      <w:rPr>
        <w:rFonts w:ascii="Wingdings" w:hAnsi="Wingdings" w:hint="default"/>
      </w:rPr>
    </w:lvl>
  </w:abstractNum>
  <w:abstractNum w:abstractNumId="1" w15:restartNumberingAfterBreak="0">
    <w:nsid w:val="0AD96A7E"/>
    <w:multiLevelType w:val="multilevel"/>
    <w:tmpl w:val="8898A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D0510FE"/>
    <w:multiLevelType w:val="multilevel"/>
    <w:tmpl w:val="20388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3773F38"/>
    <w:multiLevelType w:val="multilevel"/>
    <w:tmpl w:val="EB7CB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996BC3"/>
    <w:multiLevelType w:val="hybridMultilevel"/>
    <w:tmpl w:val="A8647BA0"/>
    <w:lvl w:ilvl="0" w:tplc="0413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AB2735"/>
    <w:multiLevelType w:val="multilevel"/>
    <w:tmpl w:val="8FCC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EF18A1"/>
    <w:multiLevelType w:val="multilevel"/>
    <w:tmpl w:val="27042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7613936"/>
    <w:multiLevelType w:val="hybridMultilevel"/>
    <w:tmpl w:val="29225136"/>
    <w:lvl w:ilvl="0" w:tplc="0413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6143C1"/>
    <w:multiLevelType w:val="multilevel"/>
    <w:tmpl w:val="EFB0C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481323"/>
    <w:multiLevelType w:val="multilevel"/>
    <w:tmpl w:val="AF6418E2"/>
    <w:lvl w:ilvl="0">
      <w:start w:val="1"/>
      <w:numFmt w:val="decimal"/>
      <w:pStyle w:val="Heading1"/>
      <w:lvlText w:val="%1"/>
      <w:lvlJc w:val="left"/>
      <w:pPr>
        <w:ind w:left="432" w:hanging="432"/>
      </w:pPr>
    </w:lvl>
    <w:lvl w:ilvl="1">
      <w:start w:val="1"/>
      <w:numFmt w:val="decimal"/>
      <w:pStyle w:val="Heading2"/>
      <w:lvlText w:val="%1.%2"/>
      <w:lvlJc w:val="left"/>
      <w:pPr>
        <w:ind w:left="3694"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86F1E9E"/>
    <w:multiLevelType w:val="multilevel"/>
    <w:tmpl w:val="7234D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012430"/>
    <w:multiLevelType w:val="hybridMultilevel"/>
    <w:tmpl w:val="5E44C84E"/>
    <w:lvl w:ilvl="0" w:tplc="0413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 w15:restartNumberingAfterBreak="0">
    <w:nsid w:val="56859C65"/>
    <w:multiLevelType w:val="hybridMultilevel"/>
    <w:tmpl w:val="3A5E7B50"/>
    <w:lvl w:ilvl="0" w:tplc="4DA04F0A">
      <w:start w:val="1"/>
      <w:numFmt w:val="bullet"/>
      <w:lvlText w:val=""/>
      <w:lvlJc w:val="left"/>
      <w:pPr>
        <w:ind w:left="720" w:hanging="360"/>
      </w:pPr>
      <w:rPr>
        <w:rFonts w:ascii="Symbol" w:hAnsi="Symbol" w:hint="default"/>
      </w:rPr>
    </w:lvl>
    <w:lvl w:ilvl="1" w:tplc="8168F4DC">
      <w:start w:val="1"/>
      <w:numFmt w:val="bullet"/>
      <w:lvlText w:val="o"/>
      <w:lvlJc w:val="left"/>
      <w:pPr>
        <w:ind w:left="1440" w:hanging="360"/>
      </w:pPr>
      <w:rPr>
        <w:rFonts w:ascii="Courier New" w:hAnsi="Courier New" w:hint="default"/>
      </w:rPr>
    </w:lvl>
    <w:lvl w:ilvl="2" w:tplc="4BA6A7AA">
      <w:start w:val="1"/>
      <w:numFmt w:val="bullet"/>
      <w:lvlText w:val=""/>
      <w:lvlJc w:val="left"/>
      <w:pPr>
        <w:ind w:left="2160" w:hanging="360"/>
      </w:pPr>
      <w:rPr>
        <w:rFonts w:ascii="Wingdings" w:hAnsi="Wingdings" w:hint="default"/>
      </w:rPr>
    </w:lvl>
    <w:lvl w:ilvl="3" w:tplc="D50EF21A">
      <w:start w:val="1"/>
      <w:numFmt w:val="bullet"/>
      <w:lvlText w:val=""/>
      <w:lvlJc w:val="left"/>
      <w:pPr>
        <w:ind w:left="2880" w:hanging="360"/>
      </w:pPr>
      <w:rPr>
        <w:rFonts w:ascii="Symbol" w:hAnsi="Symbol" w:hint="default"/>
      </w:rPr>
    </w:lvl>
    <w:lvl w:ilvl="4" w:tplc="75BAC5FC">
      <w:start w:val="1"/>
      <w:numFmt w:val="bullet"/>
      <w:lvlText w:val="o"/>
      <w:lvlJc w:val="left"/>
      <w:pPr>
        <w:ind w:left="3600" w:hanging="360"/>
      </w:pPr>
      <w:rPr>
        <w:rFonts w:ascii="Courier New" w:hAnsi="Courier New" w:hint="default"/>
      </w:rPr>
    </w:lvl>
    <w:lvl w:ilvl="5" w:tplc="F2BA576C">
      <w:start w:val="1"/>
      <w:numFmt w:val="bullet"/>
      <w:lvlText w:val=""/>
      <w:lvlJc w:val="left"/>
      <w:pPr>
        <w:ind w:left="4320" w:hanging="360"/>
      </w:pPr>
      <w:rPr>
        <w:rFonts w:ascii="Wingdings" w:hAnsi="Wingdings" w:hint="default"/>
      </w:rPr>
    </w:lvl>
    <w:lvl w:ilvl="6" w:tplc="5136EDAE">
      <w:start w:val="1"/>
      <w:numFmt w:val="bullet"/>
      <w:lvlText w:val=""/>
      <w:lvlJc w:val="left"/>
      <w:pPr>
        <w:ind w:left="5040" w:hanging="360"/>
      </w:pPr>
      <w:rPr>
        <w:rFonts w:ascii="Symbol" w:hAnsi="Symbol" w:hint="default"/>
      </w:rPr>
    </w:lvl>
    <w:lvl w:ilvl="7" w:tplc="E5B615E6">
      <w:start w:val="1"/>
      <w:numFmt w:val="bullet"/>
      <w:lvlText w:val="o"/>
      <w:lvlJc w:val="left"/>
      <w:pPr>
        <w:ind w:left="5760" w:hanging="360"/>
      </w:pPr>
      <w:rPr>
        <w:rFonts w:ascii="Courier New" w:hAnsi="Courier New" w:hint="default"/>
      </w:rPr>
    </w:lvl>
    <w:lvl w:ilvl="8" w:tplc="614E501C">
      <w:start w:val="1"/>
      <w:numFmt w:val="bullet"/>
      <w:lvlText w:val=""/>
      <w:lvlJc w:val="left"/>
      <w:pPr>
        <w:ind w:left="6480" w:hanging="360"/>
      </w:pPr>
      <w:rPr>
        <w:rFonts w:ascii="Wingdings" w:hAnsi="Wingdings" w:hint="default"/>
      </w:rPr>
    </w:lvl>
  </w:abstractNum>
  <w:abstractNum w:abstractNumId="13" w15:restartNumberingAfterBreak="0">
    <w:nsid w:val="69441A3D"/>
    <w:multiLevelType w:val="hybridMultilevel"/>
    <w:tmpl w:val="82AC8762"/>
    <w:lvl w:ilvl="0" w:tplc="0413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6B043F62"/>
    <w:multiLevelType w:val="hybridMultilevel"/>
    <w:tmpl w:val="2D0EFE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71675784"/>
    <w:multiLevelType w:val="multilevel"/>
    <w:tmpl w:val="69D2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971375D"/>
    <w:multiLevelType w:val="multilevel"/>
    <w:tmpl w:val="284A16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00484626">
    <w:abstractNumId w:val="9"/>
  </w:num>
  <w:num w:numId="2" w16cid:durableId="1690524918">
    <w:abstractNumId w:val="16"/>
  </w:num>
  <w:num w:numId="3" w16cid:durableId="40401033">
    <w:abstractNumId w:val="9"/>
  </w:num>
  <w:num w:numId="4" w16cid:durableId="2113699339">
    <w:abstractNumId w:val="9"/>
  </w:num>
  <w:num w:numId="5" w16cid:durableId="1356537887">
    <w:abstractNumId w:val="9"/>
  </w:num>
  <w:num w:numId="6" w16cid:durableId="177306668">
    <w:abstractNumId w:val="15"/>
  </w:num>
  <w:num w:numId="7" w16cid:durableId="2021731610">
    <w:abstractNumId w:val="6"/>
  </w:num>
  <w:num w:numId="8" w16cid:durableId="220794509">
    <w:abstractNumId w:val="10"/>
  </w:num>
  <w:num w:numId="9" w16cid:durableId="1944457970">
    <w:abstractNumId w:val="2"/>
  </w:num>
  <w:num w:numId="10" w16cid:durableId="41752657">
    <w:abstractNumId w:val="5"/>
  </w:num>
  <w:num w:numId="11" w16cid:durableId="551965519">
    <w:abstractNumId w:val="1"/>
  </w:num>
  <w:num w:numId="12" w16cid:durableId="1755055994">
    <w:abstractNumId w:val="9"/>
  </w:num>
  <w:num w:numId="13" w16cid:durableId="1432899840">
    <w:abstractNumId w:val="3"/>
  </w:num>
  <w:num w:numId="14" w16cid:durableId="751700378">
    <w:abstractNumId w:val="8"/>
  </w:num>
  <w:num w:numId="15" w16cid:durableId="18037679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83260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837924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9187541">
    <w:abstractNumId w:val="14"/>
  </w:num>
  <w:num w:numId="19" w16cid:durableId="720858819">
    <w:abstractNumId w:val="0"/>
  </w:num>
  <w:num w:numId="20" w16cid:durableId="1391146472">
    <w:abstractNumId w:val="12"/>
  </w:num>
  <w:num w:numId="21" w16cid:durableId="1233931279">
    <w:abstractNumId w:val="4"/>
  </w:num>
  <w:num w:numId="22" w16cid:durableId="391347019">
    <w:abstractNumId w:val="7"/>
  </w:num>
  <w:num w:numId="23" w16cid:durableId="1075326266">
    <w:abstractNumId w:val="13"/>
  </w:num>
  <w:num w:numId="24" w16cid:durableId="185941845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TS0NDM0MjIyNTGwNDFV0lEKTi0uzszPAykwrgUA3LNm0SwAAAA="/>
  </w:docVars>
  <w:rsids>
    <w:rsidRoot w:val="00F232D8"/>
    <w:rsid w:val="000051C0"/>
    <w:rsid w:val="00007B9A"/>
    <w:rsid w:val="000131A3"/>
    <w:rsid w:val="00013BEB"/>
    <w:rsid w:val="00020740"/>
    <w:rsid w:val="000252ED"/>
    <w:rsid w:val="00025715"/>
    <w:rsid w:val="000278B2"/>
    <w:rsid w:val="00032134"/>
    <w:rsid w:val="0003312F"/>
    <w:rsid w:val="00043079"/>
    <w:rsid w:val="00046582"/>
    <w:rsid w:val="000506AC"/>
    <w:rsid w:val="0005620C"/>
    <w:rsid w:val="00057BA9"/>
    <w:rsid w:val="000621D0"/>
    <w:rsid w:val="0006223A"/>
    <w:rsid w:val="00066006"/>
    <w:rsid w:val="0006698E"/>
    <w:rsid w:val="00072A83"/>
    <w:rsid w:val="0007570D"/>
    <w:rsid w:val="000763B6"/>
    <w:rsid w:val="00077352"/>
    <w:rsid w:val="00080330"/>
    <w:rsid w:val="0008121F"/>
    <w:rsid w:val="00085FE1"/>
    <w:rsid w:val="000874AB"/>
    <w:rsid w:val="00094251"/>
    <w:rsid w:val="000950A2"/>
    <w:rsid w:val="000956E5"/>
    <w:rsid w:val="000979B4"/>
    <w:rsid w:val="000A0431"/>
    <w:rsid w:val="000A3226"/>
    <w:rsid w:val="000C5183"/>
    <w:rsid w:val="000D06CD"/>
    <w:rsid w:val="000D57FB"/>
    <w:rsid w:val="000D7ACC"/>
    <w:rsid w:val="000E6482"/>
    <w:rsid w:val="000F228E"/>
    <w:rsid w:val="000F3AF4"/>
    <w:rsid w:val="000F5B54"/>
    <w:rsid w:val="00100721"/>
    <w:rsid w:val="00102693"/>
    <w:rsid w:val="00106AF2"/>
    <w:rsid w:val="00110545"/>
    <w:rsid w:val="00112CDF"/>
    <w:rsid w:val="00120233"/>
    <w:rsid w:val="001223CE"/>
    <w:rsid w:val="00135C33"/>
    <w:rsid w:val="0013798D"/>
    <w:rsid w:val="00141FC8"/>
    <w:rsid w:val="00147757"/>
    <w:rsid w:val="00154EBA"/>
    <w:rsid w:val="00154F05"/>
    <w:rsid w:val="0015729F"/>
    <w:rsid w:val="001604DE"/>
    <w:rsid w:val="0016058F"/>
    <w:rsid w:val="001642E1"/>
    <w:rsid w:val="001714CB"/>
    <w:rsid w:val="00173DB9"/>
    <w:rsid w:val="00175B4F"/>
    <w:rsid w:val="001766CA"/>
    <w:rsid w:val="00176830"/>
    <w:rsid w:val="00185B7F"/>
    <w:rsid w:val="001922AC"/>
    <w:rsid w:val="00192639"/>
    <w:rsid w:val="0019436D"/>
    <w:rsid w:val="00196C7C"/>
    <w:rsid w:val="001B5DDF"/>
    <w:rsid w:val="001C34C7"/>
    <w:rsid w:val="001C550A"/>
    <w:rsid w:val="001D2C81"/>
    <w:rsid w:val="001E0FF9"/>
    <w:rsid w:val="001E2E42"/>
    <w:rsid w:val="001E3182"/>
    <w:rsid w:val="001E3625"/>
    <w:rsid w:val="001F0B64"/>
    <w:rsid w:val="001F0F1A"/>
    <w:rsid w:val="001F5D04"/>
    <w:rsid w:val="00206142"/>
    <w:rsid w:val="00211AB2"/>
    <w:rsid w:val="00215D7F"/>
    <w:rsid w:val="00216C0F"/>
    <w:rsid w:val="00224067"/>
    <w:rsid w:val="0022507C"/>
    <w:rsid w:val="00232EF4"/>
    <w:rsid w:val="0023381E"/>
    <w:rsid w:val="00241B5D"/>
    <w:rsid w:val="0024301D"/>
    <w:rsid w:val="002431F1"/>
    <w:rsid w:val="00253D15"/>
    <w:rsid w:val="00260693"/>
    <w:rsid w:val="00267C2F"/>
    <w:rsid w:val="00271FA5"/>
    <w:rsid w:val="00282C95"/>
    <w:rsid w:val="00287F49"/>
    <w:rsid w:val="00291533"/>
    <w:rsid w:val="00293C6F"/>
    <w:rsid w:val="00294385"/>
    <w:rsid w:val="002974A0"/>
    <w:rsid w:val="002A018F"/>
    <w:rsid w:val="002A023E"/>
    <w:rsid w:val="002A16D9"/>
    <w:rsid w:val="002A580B"/>
    <w:rsid w:val="002B0CA1"/>
    <w:rsid w:val="002B4C43"/>
    <w:rsid w:val="002B5648"/>
    <w:rsid w:val="002B5A5D"/>
    <w:rsid w:val="002B6CBE"/>
    <w:rsid w:val="002C2805"/>
    <w:rsid w:val="002C5060"/>
    <w:rsid w:val="002C5A52"/>
    <w:rsid w:val="002E3D10"/>
    <w:rsid w:val="00320EB8"/>
    <w:rsid w:val="0032110B"/>
    <w:rsid w:val="00324E50"/>
    <w:rsid w:val="0032541F"/>
    <w:rsid w:val="00331EA0"/>
    <w:rsid w:val="00333700"/>
    <w:rsid w:val="00337EE8"/>
    <w:rsid w:val="0034131E"/>
    <w:rsid w:val="00342607"/>
    <w:rsid w:val="00342C86"/>
    <w:rsid w:val="00346F27"/>
    <w:rsid w:val="003535BD"/>
    <w:rsid w:val="00355603"/>
    <w:rsid w:val="00360D7C"/>
    <w:rsid w:val="00363831"/>
    <w:rsid w:val="00371634"/>
    <w:rsid w:val="00371AB8"/>
    <w:rsid w:val="003807FC"/>
    <w:rsid w:val="00382F1B"/>
    <w:rsid w:val="00384BEB"/>
    <w:rsid w:val="00385760"/>
    <w:rsid w:val="0038755D"/>
    <w:rsid w:val="00391F4D"/>
    <w:rsid w:val="00393322"/>
    <w:rsid w:val="00393EC2"/>
    <w:rsid w:val="0039410A"/>
    <w:rsid w:val="00395703"/>
    <w:rsid w:val="00396FB3"/>
    <w:rsid w:val="003B0F7A"/>
    <w:rsid w:val="003B1CB2"/>
    <w:rsid w:val="003B6CDD"/>
    <w:rsid w:val="003D71DE"/>
    <w:rsid w:val="003D72A2"/>
    <w:rsid w:val="003D764C"/>
    <w:rsid w:val="003E68BF"/>
    <w:rsid w:val="003E7BFC"/>
    <w:rsid w:val="003F0785"/>
    <w:rsid w:val="004066AE"/>
    <w:rsid w:val="00413C05"/>
    <w:rsid w:val="004144F1"/>
    <w:rsid w:val="00420976"/>
    <w:rsid w:val="00431D40"/>
    <w:rsid w:val="004330B2"/>
    <w:rsid w:val="004511EA"/>
    <w:rsid w:val="00453969"/>
    <w:rsid w:val="00470073"/>
    <w:rsid w:val="00470A7A"/>
    <w:rsid w:val="00471487"/>
    <w:rsid w:val="00473AAC"/>
    <w:rsid w:val="0047531F"/>
    <w:rsid w:val="00482047"/>
    <w:rsid w:val="004855F0"/>
    <w:rsid w:val="004943A3"/>
    <w:rsid w:val="004A3BDC"/>
    <w:rsid w:val="004B6CE3"/>
    <w:rsid w:val="004C03A4"/>
    <w:rsid w:val="004C0571"/>
    <w:rsid w:val="004C119C"/>
    <w:rsid w:val="004C1F37"/>
    <w:rsid w:val="004C34F3"/>
    <w:rsid w:val="004C380A"/>
    <w:rsid w:val="004C4B57"/>
    <w:rsid w:val="004C6734"/>
    <w:rsid w:val="004D14DD"/>
    <w:rsid w:val="004D1E6A"/>
    <w:rsid w:val="004D5892"/>
    <w:rsid w:val="004E4FE7"/>
    <w:rsid w:val="004E6C56"/>
    <w:rsid w:val="004F4E65"/>
    <w:rsid w:val="00501EC2"/>
    <w:rsid w:val="00502555"/>
    <w:rsid w:val="00504267"/>
    <w:rsid w:val="00514DCF"/>
    <w:rsid w:val="00516FFE"/>
    <w:rsid w:val="00527864"/>
    <w:rsid w:val="005324DF"/>
    <w:rsid w:val="00534CA1"/>
    <w:rsid w:val="00534D36"/>
    <w:rsid w:val="0054361E"/>
    <w:rsid w:val="00547637"/>
    <w:rsid w:val="00552DF0"/>
    <w:rsid w:val="005536D2"/>
    <w:rsid w:val="00560DAD"/>
    <w:rsid w:val="005627B9"/>
    <w:rsid w:val="005647BF"/>
    <w:rsid w:val="00570AC4"/>
    <w:rsid w:val="00587BD9"/>
    <w:rsid w:val="00597F7A"/>
    <w:rsid w:val="005B38BE"/>
    <w:rsid w:val="005B5D78"/>
    <w:rsid w:val="005B7FE7"/>
    <w:rsid w:val="005C71D4"/>
    <w:rsid w:val="005D2AC0"/>
    <w:rsid w:val="005E0DB3"/>
    <w:rsid w:val="005E2843"/>
    <w:rsid w:val="005E5258"/>
    <w:rsid w:val="005E6BDF"/>
    <w:rsid w:val="005F0A89"/>
    <w:rsid w:val="005F5591"/>
    <w:rsid w:val="005F7B06"/>
    <w:rsid w:val="006066CF"/>
    <w:rsid w:val="00616C8C"/>
    <w:rsid w:val="00617828"/>
    <w:rsid w:val="00620C0C"/>
    <w:rsid w:val="00622C22"/>
    <w:rsid w:val="00626582"/>
    <w:rsid w:val="006265F2"/>
    <w:rsid w:val="00627F54"/>
    <w:rsid w:val="00632439"/>
    <w:rsid w:val="006331FC"/>
    <w:rsid w:val="006355BF"/>
    <w:rsid w:val="00646364"/>
    <w:rsid w:val="006556F4"/>
    <w:rsid w:val="00664434"/>
    <w:rsid w:val="00666709"/>
    <w:rsid w:val="0067266D"/>
    <w:rsid w:val="006740EF"/>
    <w:rsid w:val="00675975"/>
    <w:rsid w:val="0067750F"/>
    <w:rsid w:val="00680F60"/>
    <w:rsid w:val="00684884"/>
    <w:rsid w:val="00684C64"/>
    <w:rsid w:val="006956E5"/>
    <w:rsid w:val="006A4391"/>
    <w:rsid w:val="006A7D3E"/>
    <w:rsid w:val="006B38F1"/>
    <w:rsid w:val="006B3C99"/>
    <w:rsid w:val="006B70C2"/>
    <w:rsid w:val="006B7728"/>
    <w:rsid w:val="006C09D3"/>
    <w:rsid w:val="006C14ED"/>
    <w:rsid w:val="006C4CE4"/>
    <w:rsid w:val="006E40F5"/>
    <w:rsid w:val="006F2CEC"/>
    <w:rsid w:val="00702CAE"/>
    <w:rsid w:val="007119C8"/>
    <w:rsid w:val="0072090A"/>
    <w:rsid w:val="00720DC9"/>
    <w:rsid w:val="00731457"/>
    <w:rsid w:val="0073721A"/>
    <w:rsid w:val="00737482"/>
    <w:rsid w:val="00741E2E"/>
    <w:rsid w:val="007527AC"/>
    <w:rsid w:val="00753E8F"/>
    <w:rsid w:val="00763B62"/>
    <w:rsid w:val="00777769"/>
    <w:rsid w:val="0078089D"/>
    <w:rsid w:val="00780D9D"/>
    <w:rsid w:val="00782FED"/>
    <w:rsid w:val="00787A06"/>
    <w:rsid w:val="00791715"/>
    <w:rsid w:val="0079623C"/>
    <w:rsid w:val="007A29DA"/>
    <w:rsid w:val="007B42D3"/>
    <w:rsid w:val="007B435F"/>
    <w:rsid w:val="007B50D7"/>
    <w:rsid w:val="007E00C6"/>
    <w:rsid w:val="007F5CE2"/>
    <w:rsid w:val="007F7582"/>
    <w:rsid w:val="008215F1"/>
    <w:rsid w:val="00825394"/>
    <w:rsid w:val="008343DD"/>
    <w:rsid w:val="00840507"/>
    <w:rsid w:val="008417E4"/>
    <w:rsid w:val="008443BD"/>
    <w:rsid w:val="00845F2F"/>
    <w:rsid w:val="00847D9E"/>
    <w:rsid w:val="00852399"/>
    <w:rsid w:val="00852709"/>
    <w:rsid w:val="00853786"/>
    <w:rsid w:val="00856AC0"/>
    <w:rsid w:val="0086162E"/>
    <w:rsid w:val="0086270D"/>
    <w:rsid w:val="00863147"/>
    <w:rsid w:val="00864C74"/>
    <w:rsid w:val="00866AD8"/>
    <w:rsid w:val="00872BB5"/>
    <w:rsid w:val="00873799"/>
    <w:rsid w:val="008763D3"/>
    <w:rsid w:val="008831D4"/>
    <w:rsid w:val="0088323F"/>
    <w:rsid w:val="00885C1E"/>
    <w:rsid w:val="00886ED6"/>
    <w:rsid w:val="0089412D"/>
    <w:rsid w:val="008944B8"/>
    <w:rsid w:val="0089709B"/>
    <w:rsid w:val="008A1BC6"/>
    <w:rsid w:val="008A6A14"/>
    <w:rsid w:val="008A7648"/>
    <w:rsid w:val="008A7995"/>
    <w:rsid w:val="008B0993"/>
    <w:rsid w:val="008B3626"/>
    <w:rsid w:val="008B4D0B"/>
    <w:rsid w:val="008B73B8"/>
    <w:rsid w:val="008C01D1"/>
    <w:rsid w:val="008C3062"/>
    <w:rsid w:val="008D08E7"/>
    <w:rsid w:val="008D715D"/>
    <w:rsid w:val="008D764E"/>
    <w:rsid w:val="008F6E47"/>
    <w:rsid w:val="0090143B"/>
    <w:rsid w:val="0091295B"/>
    <w:rsid w:val="00934E98"/>
    <w:rsid w:val="00943541"/>
    <w:rsid w:val="0094682E"/>
    <w:rsid w:val="00960B03"/>
    <w:rsid w:val="0096142F"/>
    <w:rsid w:val="00971A41"/>
    <w:rsid w:val="009768CD"/>
    <w:rsid w:val="0098052A"/>
    <w:rsid w:val="0098226C"/>
    <w:rsid w:val="00982773"/>
    <w:rsid w:val="0098768A"/>
    <w:rsid w:val="00992599"/>
    <w:rsid w:val="009A1C10"/>
    <w:rsid w:val="009A5880"/>
    <w:rsid w:val="009B0CAA"/>
    <w:rsid w:val="009B351B"/>
    <w:rsid w:val="009B3970"/>
    <w:rsid w:val="009B57B5"/>
    <w:rsid w:val="009C2052"/>
    <w:rsid w:val="009D584E"/>
    <w:rsid w:val="009D766A"/>
    <w:rsid w:val="009E3EF6"/>
    <w:rsid w:val="009F7AC8"/>
    <w:rsid w:val="00A01447"/>
    <w:rsid w:val="00A0766A"/>
    <w:rsid w:val="00A172E5"/>
    <w:rsid w:val="00A1768D"/>
    <w:rsid w:val="00A17D14"/>
    <w:rsid w:val="00A3085E"/>
    <w:rsid w:val="00A56049"/>
    <w:rsid w:val="00A62D82"/>
    <w:rsid w:val="00A6773B"/>
    <w:rsid w:val="00A7241A"/>
    <w:rsid w:val="00A75BA5"/>
    <w:rsid w:val="00A86BC1"/>
    <w:rsid w:val="00A90545"/>
    <w:rsid w:val="00A92331"/>
    <w:rsid w:val="00AA100C"/>
    <w:rsid w:val="00AA1420"/>
    <w:rsid w:val="00AA53D0"/>
    <w:rsid w:val="00AB3CC0"/>
    <w:rsid w:val="00AB41DD"/>
    <w:rsid w:val="00AB78F8"/>
    <w:rsid w:val="00AC0716"/>
    <w:rsid w:val="00AC39CA"/>
    <w:rsid w:val="00AD1881"/>
    <w:rsid w:val="00AD3A9E"/>
    <w:rsid w:val="00AF41EB"/>
    <w:rsid w:val="00B00ADE"/>
    <w:rsid w:val="00B01187"/>
    <w:rsid w:val="00B050C1"/>
    <w:rsid w:val="00B07F81"/>
    <w:rsid w:val="00B1096B"/>
    <w:rsid w:val="00B12162"/>
    <w:rsid w:val="00B152D1"/>
    <w:rsid w:val="00B15EBB"/>
    <w:rsid w:val="00B22311"/>
    <w:rsid w:val="00B24597"/>
    <w:rsid w:val="00B30A23"/>
    <w:rsid w:val="00B3746D"/>
    <w:rsid w:val="00B402B4"/>
    <w:rsid w:val="00B409C2"/>
    <w:rsid w:val="00B42D68"/>
    <w:rsid w:val="00B43388"/>
    <w:rsid w:val="00B44064"/>
    <w:rsid w:val="00B46842"/>
    <w:rsid w:val="00B46E58"/>
    <w:rsid w:val="00B54EBD"/>
    <w:rsid w:val="00B55486"/>
    <w:rsid w:val="00B64D91"/>
    <w:rsid w:val="00B777A8"/>
    <w:rsid w:val="00B814BD"/>
    <w:rsid w:val="00B828AA"/>
    <w:rsid w:val="00B84BE3"/>
    <w:rsid w:val="00B87B1A"/>
    <w:rsid w:val="00B93463"/>
    <w:rsid w:val="00B93721"/>
    <w:rsid w:val="00B97567"/>
    <w:rsid w:val="00BB13E4"/>
    <w:rsid w:val="00BB3EB2"/>
    <w:rsid w:val="00BB4369"/>
    <w:rsid w:val="00BC1058"/>
    <w:rsid w:val="00BC7A88"/>
    <w:rsid w:val="00BD01E3"/>
    <w:rsid w:val="00BD1030"/>
    <w:rsid w:val="00BD24C6"/>
    <w:rsid w:val="00BE1EEA"/>
    <w:rsid w:val="00BE6266"/>
    <w:rsid w:val="00BF169F"/>
    <w:rsid w:val="00C01E37"/>
    <w:rsid w:val="00C0268D"/>
    <w:rsid w:val="00C02F5D"/>
    <w:rsid w:val="00C06F7A"/>
    <w:rsid w:val="00C217FC"/>
    <w:rsid w:val="00C23229"/>
    <w:rsid w:val="00C247CA"/>
    <w:rsid w:val="00C30403"/>
    <w:rsid w:val="00C31E9C"/>
    <w:rsid w:val="00C339E7"/>
    <w:rsid w:val="00C3779C"/>
    <w:rsid w:val="00C41776"/>
    <w:rsid w:val="00C43112"/>
    <w:rsid w:val="00C571EA"/>
    <w:rsid w:val="00C57A09"/>
    <w:rsid w:val="00C60141"/>
    <w:rsid w:val="00C649D7"/>
    <w:rsid w:val="00C66F48"/>
    <w:rsid w:val="00C67B0B"/>
    <w:rsid w:val="00C67B77"/>
    <w:rsid w:val="00C7224E"/>
    <w:rsid w:val="00C732D5"/>
    <w:rsid w:val="00C82D1E"/>
    <w:rsid w:val="00C91120"/>
    <w:rsid w:val="00C96C3F"/>
    <w:rsid w:val="00C97D88"/>
    <w:rsid w:val="00CA13F1"/>
    <w:rsid w:val="00CA46D5"/>
    <w:rsid w:val="00CB1249"/>
    <w:rsid w:val="00CB359A"/>
    <w:rsid w:val="00CB39EE"/>
    <w:rsid w:val="00CB4B4A"/>
    <w:rsid w:val="00CB4E31"/>
    <w:rsid w:val="00CC1EEA"/>
    <w:rsid w:val="00CC3968"/>
    <w:rsid w:val="00CD5CDF"/>
    <w:rsid w:val="00CE2CFE"/>
    <w:rsid w:val="00CE394A"/>
    <w:rsid w:val="00CE45D4"/>
    <w:rsid w:val="00CE67B5"/>
    <w:rsid w:val="00CF7AEA"/>
    <w:rsid w:val="00D17743"/>
    <w:rsid w:val="00D17D58"/>
    <w:rsid w:val="00D21DF0"/>
    <w:rsid w:val="00D25E7F"/>
    <w:rsid w:val="00D32377"/>
    <w:rsid w:val="00D341FC"/>
    <w:rsid w:val="00D34AA6"/>
    <w:rsid w:val="00D35232"/>
    <w:rsid w:val="00D35E39"/>
    <w:rsid w:val="00D40797"/>
    <w:rsid w:val="00D41A2B"/>
    <w:rsid w:val="00D4313E"/>
    <w:rsid w:val="00D45A1B"/>
    <w:rsid w:val="00D45AD1"/>
    <w:rsid w:val="00D46A22"/>
    <w:rsid w:val="00D477F8"/>
    <w:rsid w:val="00D5194C"/>
    <w:rsid w:val="00D53F1F"/>
    <w:rsid w:val="00D5641C"/>
    <w:rsid w:val="00D57F77"/>
    <w:rsid w:val="00D77B0B"/>
    <w:rsid w:val="00D82910"/>
    <w:rsid w:val="00D91C27"/>
    <w:rsid w:val="00D945D3"/>
    <w:rsid w:val="00D95594"/>
    <w:rsid w:val="00D95706"/>
    <w:rsid w:val="00DA0894"/>
    <w:rsid w:val="00DA1F3D"/>
    <w:rsid w:val="00DB03C1"/>
    <w:rsid w:val="00DB3FD6"/>
    <w:rsid w:val="00DC2AA1"/>
    <w:rsid w:val="00DC6478"/>
    <w:rsid w:val="00DD0BFD"/>
    <w:rsid w:val="00DD76DC"/>
    <w:rsid w:val="00DE48DB"/>
    <w:rsid w:val="00E034FE"/>
    <w:rsid w:val="00E037D1"/>
    <w:rsid w:val="00E07F69"/>
    <w:rsid w:val="00E11230"/>
    <w:rsid w:val="00E12804"/>
    <w:rsid w:val="00E12B93"/>
    <w:rsid w:val="00E1777B"/>
    <w:rsid w:val="00E27E31"/>
    <w:rsid w:val="00E333FF"/>
    <w:rsid w:val="00E33E9D"/>
    <w:rsid w:val="00E603A8"/>
    <w:rsid w:val="00E60883"/>
    <w:rsid w:val="00E665F7"/>
    <w:rsid w:val="00E67E81"/>
    <w:rsid w:val="00E72830"/>
    <w:rsid w:val="00E7525F"/>
    <w:rsid w:val="00E7551D"/>
    <w:rsid w:val="00E806DA"/>
    <w:rsid w:val="00E83B41"/>
    <w:rsid w:val="00E8595B"/>
    <w:rsid w:val="00E941F8"/>
    <w:rsid w:val="00EA1845"/>
    <w:rsid w:val="00EA3AEF"/>
    <w:rsid w:val="00EB387E"/>
    <w:rsid w:val="00EB53F3"/>
    <w:rsid w:val="00ED21B2"/>
    <w:rsid w:val="00ED5536"/>
    <w:rsid w:val="00EE107C"/>
    <w:rsid w:val="00EE1C0B"/>
    <w:rsid w:val="00EE6375"/>
    <w:rsid w:val="00EE67EA"/>
    <w:rsid w:val="00EE6CC0"/>
    <w:rsid w:val="00EF227E"/>
    <w:rsid w:val="00EF3AB2"/>
    <w:rsid w:val="00F024C0"/>
    <w:rsid w:val="00F07888"/>
    <w:rsid w:val="00F1624B"/>
    <w:rsid w:val="00F16CCD"/>
    <w:rsid w:val="00F232D8"/>
    <w:rsid w:val="00F259C3"/>
    <w:rsid w:val="00F2683C"/>
    <w:rsid w:val="00F30D5D"/>
    <w:rsid w:val="00F41152"/>
    <w:rsid w:val="00F454F1"/>
    <w:rsid w:val="00F5135C"/>
    <w:rsid w:val="00F53A6A"/>
    <w:rsid w:val="00F629D3"/>
    <w:rsid w:val="00F62A48"/>
    <w:rsid w:val="00F7618D"/>
    <w:rsid w:val="00F77046"/>
    <w:rsid w:val="00F84353"/>
    <w:rsid w:val="00F84378"/>
    <w:rsid w:val="00F91A83"/>
    <w:rsid w:val="00F92C6F"/>
    <w:rsid w:val="00F95CFD"/>
    <w:rsid w:val="00F96707"/>
    <w:rsid w:val="00FB5740"/>
    <w:rsid w:val="00FB586B"/>
    <w:rsid w:val="00FC1A03"/>
    <w:rsid w:val="00FC1B34"/>
    <w:rsid w:val="00FC3084"/>
    <w:rsid w:val="00FC3EAC"/>
    <w:rsid w:val="00FC5708"/>
    <w:rsid w:val="00FC6B00"/>
    <w:rsid w:val="00FC7BF5"/>
    <w:rsid w:val="00FD0529"/>
    <w:rsid w:val="00FD07C6"/>
    <w:rsid w:val="00FD2317"/>
    <w:rsid w:val="00FD3101"/>
    <w:rsid w:val="00FD3152"/>
    <w:rsid w:val="00FD3263"/>
    <w:rsid w:val="00FE0BA6"/>
    <w:rsid w:val="00FF1D05"/>
    <w:rsid w:val="00FF1FE8"/>
    <w:rsid w:val="00FF3028"/>
    <w:rsid w:val="00FF37DE"/>
    <w:rsid w:val="00FF5E96"/>
    <w:rsid w:val="00FF7E39"/>
    <w:rsid w:val="01048688"/>
    <w:rsid w:val="01FF54DE"/>
    <w:rsid w:val="0626FFC2"/>
    <w:rsid w:val="08CC8B63"/>
    <w:rsid w:val="0C42205C"/>
    <w:rsid w:val="0FB0B677"/>
    <w:rsid w:val="108F0246"/>
    <w:rsid w:val="15872C71"/>
    <w:rsid w:val="15C25BEC"/>
    <w:rsid w:val="184C9A1F"/>
    <w:rsid w:val="1E7F2FDE"/>
    <w:rsid w:val="1EC55D4B"/>
    <w:rsid w:val="23D8C68B"/>
    <w:rsid w:val="2677AC92"/>
    <w:rsid w:val="27981A00"/>
    <w:rsid w:val="279D6FEA"/>
    <w:rsid w:val="2928E796"/>
    <w:rsid w:val="299C7C9E"/>
    <w:rsid w:val="2A8B19AD"/>
    <w:rsid w:val="2B14A48C"/>
    <w:rsid w:val="2CDE5AC9"/>
    <w:rsid w:val="32F40C24"/>
    <w:rsid w:val="35D8B777"/>
    <w:rsid w:val="36FCB243"/>
    <w:rsid w:val="39698AAA"/>
    <w:rsid w:val="3D5B654E"/>
    <w:rsid w:val="3F554920"/>
    <w:rsid w:val="42DB5183"/>
    <w:rsid w:val="43BC1A4A"/>
    <w:rsid w:val="497C4588"/>
    <w:rsid w:val="49C08C29"/>
    <w:rsid w:val="4B3F0A53"/>
    <w:rsid w:val="4D9EB636"/>
    <w:rsid w:val="4FCFBC42"/>
    <w:rsid w:val="5075A698"/>
    <w:rsid w:val="52701C79"/>
    <w:rsid w:val="5A62ABAF"/>
    <w:rsid w:val="5D96A2CC"/>
    <w:rsid w:val="5D9CE838"/>
    <w:rsid w:val="5EFE048C"/>
    <w:rsid w:val="636000AD"/>
    <w:rsid w:val="64BB557B"/>
    <w:rsid w:val="672BF028"/>
    <w:rsid w:val="68FBEE3D"/>
    <w:rsid w:val="6BD83DA5"/>
    <w:rsid w:val="6FA2B935"/>
    <w:rsid w:val="713DE46D"/>
    <w:rsid w:val="72500F20"/>
    <w:rsid w:val="76AA8E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A2B13"/>
  <w15:chartTrackingRefBased/>
  <w15:docId w15:val="{EFA93862-DD19-47B6-AA1A-5EE4003E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autoRedefine/>
    <w:uiPriority w:val="9"/>
    <w:qFormat/>
    <w:rsid w:val="00DD0BFD"/>
    <w:pPr>
      <w:keepNext/>
      <w:keepLines/>
      <w:numPr>
        <w:numId w:val="1"/>
      </w:numPr>
      <w:spacing w:before="240" w:after="0"/>
      <w:outlineLvl w:val="0"/>
    </w:pPr>
    <w:rPr>
      <w:rFonts w:eastAsiaTheme="majorEastAsia" w:cstheme="majorBidi"/>
      <w:color w:val="66BBCA"/>
      <w:sz w:val="40"/>
      <w:szCs w:val="32"/>
    </w:rPr>
  </w:style>
  <w:style w:type="paragraph" w:styleId="Heading2">
    <w:name w:val="heading 2"/>
    <w:basedOn w:val="Normal"/>
    <w:next w:val="Normal"/>
    <w:link w:val="Heading2Char"/>
    <w:autoRedefine/>
    <w:uiPriority w:val="9"/>
    <w:unhideWhenUsed/>
    <w:qFormat/>
    <w:rsid w:val="00C91120"/>
    <w:pPr>
      <w:keepNext/>
      <w:keepLines/>
      <w:numPr>
        <w:ilvl w:val="1"/>
        <w:numId w:val="1"/>
      </w:numPr>
      <w:spacing w:before="40" w:after="0"/>
      <w:ind w:left="567"/>
      <w:outlineLvl w:val="1"/>
    </w:pPr>
    <w:rPr>
      <w:rFonts w:eastAsiaTheme="majorEastAsia" w:cstheme="majorBidi"/>
      <w:color w:val="66BBCA"/>
      <w:sz w:val="36"/>
      <w:szCs w:val="26"/>
    </w:rPr>
  </w:style>
  <w:style w:type="paragraph" w:styleId="Heading3">
    <w:name w:val="heading 3"/>
    <w:basedOn w:val="Normal"/>
    <w:next w:val="Normal"/>
    <w:link w:val="Heading3Char"/>
    <w:autoRedefine/>
    <w:uiPriority w:val="9"/>
    <w:unhideWhenUsed/>
    <w:qFormat/>
    <w:rsid w:val="004B6CE3"/>
    <w:pPr>
      <w:keepNext/>
      <w:keepLines/>
      <w:numPr>
        <w:ilvl w:val="2"/>
        <w:numId w:val="1"/>
      </w:numPr>
      <w:spacing w:before="40" w:after="0"/>
      <w:outlineLvl w:val="2"/>
    </w:pPr>
    <w:rPr>
      <w:rFonts w:eastAsiaTheme="majorEastAsia" w:cstheme="majorBidi"/>
      <w:color w:val="66BBCA"/>
      <w:sz w:val="32"/>
      <w:szCs w:val="24"/>
      <w:lang w:val="en-US"/>
    </w:rPr>
  </w:style>
  <w:style w:type="paragraph" w:styleId="Heading4">
    <w:name w:val="heading 4"/>
    <w:basedOn w:val="Normal"/>
    <w:next w:val="Normal"/>
    <w:link w:val="Heading4Char"/>
    <w:uiPriority w:val="9"/>
    <w:semiHidden/>
    <w:unhideWhenUsed/>
    <w:qFormat/>
    <w:rsid w:val="00D57F77"/>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57F7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D57F7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D57F7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D57F7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57F7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6CDD"/>
    <w:rPr>
      <w:color w:val="808080"/>
    </w:rPr>
  </w:style>
  <w:style w:type="paragraph" w:styleId="Title">
    <w:name w:val="Title"/>
    <w:basedOn w:val="Normal"/>
    <w:next w:val="Normal"/>
    <w:link w:val="TitleChar"/>
    <w:uiPriority w:val="10"/>
    <w:qFormat/>
    <w:rsid w:val="003B6CD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6CDD"/>
    <w:rPr>
      <w:rFonts w:asciiTheme="majorHAnsi" w:eastAsiaTheme="majorEastAsia" w:hAnsiTheme="majorHAnsi" w:cstheme="majorBidi"/>
      <w:spacing w:val="-10"/>
      <w:kern w:val="28"/>
      <w:sz w:val="56"/>
      <w:szCs w:val="56"/>
    </w:rPr>
  </w:style>
  <w:style w:type="paragraph" w:styleId="BodyText">
    <w:name w:val="Body Text"/>
    <w:basedOn w:val="Normal"/>
    <w:link w:val="BodyTextChar"/>
    <w:qFormat/>
    <w:rsid w:val="003B6CDD"/>
    <w:pPr>
      <w:spacing w:after="200" w:line="264" w:lineRule="auto"/>
      <w:jc w:val="both"/>
    </w:pPr>
    <w:rPr>
      <w:rFonts w:asciiTheme="minorHAnsi" w:eastAsia="Times New Roman" w:hAnsiTheme="minorHAnsi" w:cs="Arial"/>
      <w:bCs/>
      <w:color w:val="000000" w:themeColor="text1"/>
      <w:sz w:val="23"/>
      <w:lang w:eastAsia="de-DE"/>
    </w:rPr>
  </w:style>
  <w:style w:type="character" w:customStyle="1" w:styleId="BodyTextChar">
    <w:name w:val="Body Text Char"/>
    <w:basedOn w:val="DefaultParagraphFont"/>
    <w:link w:val="BodyText"/>
    <w:rsid w:val="003B6CDD"/>
    <w:rPr>
      <w:rFonts w:asciiTheme="minorHAnsi" w:eastAsia="Times New Roman" w:hAnsiTheme="minorHAnsi" w:cs="Arial"/>
      <w:bCs/>
      <w:color w:val="000000" w:themeColor="text1"/>
      <w:sz w:val="23"/>
      <w:lang w:val="en-GB" w:eastAsia="de-DE"/>
    </w:rPr>
  </w:style>
  <w:style w:type="character" w:styleId="Hyperlink">
    <w:name w:val="Hyperlink"/>
    <w:basedOn w:val="DefaultParagraphFont"/>
    <w:uiPriority w:val="99"/>
    <w:unhideWhenUsed/>
    <w:rsid w:val="003B6CDD"/>
    <w:rPr>
      <w:color w:val="0563C1" w:themeColor="hyperlink"/>
      <w:u w:val="single"/>
    </w:rPr>
  </w:style>
  <w:style w:type="paragraph" w:styleId="Header">
    <w:name w:val="header"/>
    <w:basedOn w:val="Normal"/>
    <w:link w:val="HeaderChar"/>
    <w:uiPriority w:val="99"/>
    <w:unhideWhenUsed/>
    <w:rsid w:val="000956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56E5"/>
  </w:style>
  <w:style w:type="paragraph" w:styleId="Footer">
    <w:name w:val="footer"/>
    <w:basedOn w:val="Normal"/>
    <w:link w:val="FooterChar"/>
    <w:uiPriority w:val="99"/>
    <w:unhideWhenUsed/>
    <w:rsid w:val="000956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56E5"/>
  </w:style>
  <w:style w:type="character" w:customStyle="1" w:styleId="Heading1Char">
    <w:name w:val="Heading 1 Char"/>
    <w:basedOn w:val="DefaultParagraphFont"/>
    <w:link w:val="Heading1"/>
    <w:uiPriority w:val="9"/>
    <w:rsid w:val="00DD0BFD"/>
    <w:rPr>
      <w:rFonts w:eastAsiaTheme="majorEastAsia" w:cstheme="majorBidi"/>
      <w:color w:val="66BBCA"/>
      <w:sz w:val="40"/>
      <w:szCs w:val="32"/>
      <w:lang w:val="en-GB"/>
    </w:rPr>
  </w:style>
  <w:style w:type="paragraph" w:styleId="TOCHeading">
    <w:name w:val="TOC Heading"/>
    <w:basedOn w:val="Heading1"/>
    <w:next w:val="Normal"/>
    <w:uiPriority w:val="39"/>
    <w:unhideWhenUsed/>
    <w:qFormat/>
    <w:rsid w:val="00DC2AA1"/>
    <w:pPr>
      <w:outlineLvl w:val="9"/>
    </w:pPr>
    <w:rPr>
      <w:lang w:val="en-US"/>
    </w:rPr>
  </w:style>
  <w:style w:type="paragraph" w:customStyle="1" w:styleId="Tabletext">
    <w:name w:val="Table text"/>
    <w:basedOn w:val="Normal"/>
    <w:qFormat/>
    <w:rsid w:val="00DC2AA1"/>
    <w:pPr>
      <w:spacing w:after="0" w:line="240" w:lineRule="auto"/>
    </w:pPr>
    <w:rPr>
      <w:rFonts w:asciiTheme="minorHAnsi" w:hAnsiTheme="minorHAnsi"/>
      <w:color w:val="000000" w:themeColor="text1"/>
      <w:szCs w:val="20"/>
      <w:lang w:val="de-DE" w:eastAsia="de-DE"/>
    </w:rPr>
  </w:style>
  <w:style w:type="table" w:styleId="TableGrid">
    <w:name w:val="Table Grid"/>
    <w:basedOn w:val="TableNormal"/>
    <w:uiPriority w:val="39"/>
    <w:rsid w:val="00534C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autoRedefine/>
    <w:uiPriority w:val="35"/>
    <w:unhideWhenUsed/>
    <w:qFormat/>
    <w:rsid w:val="004C0571"/>
    <w:pPr>
      <w:keepNext/>
      <w:spacing w:after="200" w:line="240" w:lineRule="auto"/>
    </w:pPr>
    <w:rPr>
      <w:i/>
      <w:iCs/>
      <w:color w:val="808080" w:themeColor="background1" w:themeShade="80"/>
      <w:sz w:val="20"/>
      <w:szCs w:val="16"/>
    </w:rPr>
  </w:style>
  <w:style w:type="table" w:styleId="GridTable5Dark-Accent6">
    <w:name w:val="Grid Table 5 Dark Accent 6"/>
    <w:basedOn w:val="TableNormal"/>
    <w:uiPriority w:val="50"/>
    <w:rsid w:val="005647B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character" w:customStyle="1" w:styleId="Heading4Char">
    <w:name w:val="Heading 4 Char"/>
    <w:basedOn w:val="DefaultParagraphFont"/>
    <w:link w:val="Heading4"/>
    <w:uiPriority w:val="9"/>
    <w:semiHidden/>
    <w:rsid w:val="00D57F77"/>
    <w:rPr>
      <w:rFonts w:asciiTheme="majorHAnsi" w:eastAsiaTheme="majorEastAsia" w:hAnsiTheme="majorHAnsi" w:cstheme="majorBidi"/>
      <w:i/>
      <w:iCs/>
      <w:color w:val="2F5496" w:themeColor="accent1" w:themeShade="BF"/>
      <w:lang w:val="en-GB"/>
    </w:rPr>
  </w:style>
  <w:style w:type="paragraph" w:styleId="TOC1">
    <w:name w:val="toc 1"/>
    <w:basedOn w:val="Normal"/>
    <w:next w:val="Normal"/>
    <w:autoRedefine/>
    <w:uiPriority w:val="39"/>
    <w:unhideWhenUsed/>
    <w:rsid w:val="002C5A52"/>
    <w:pPr>
      <w:tabs>
        <w:tab w:val="left" w:pos="440"/>
        <w:tab w:val="right" w:leader="dot" w:pos="9016"/>
      </w:tabs>
      <w:spacing w:after="100"/>
    </w:pPr>
  </w:style>
  <w:style w:type="character" w:customStyle="1" w:styleId="Heading5Char">
    <w:name w:val="Heading 5 Char"/>
    <w:basedOn w:val="DefaultParagraphFont"/>
    <w:link w:val="Heading5"/>
    <w:uiPriority w:val="9"/>
    <w:semiHidden/>
    <w:rsid w:val="00D57F77"/>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D57F77"/>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D57F77"/>
    <w:rPr>
      <w:rFonts w:asciiTheme="majorHAnsi" w:eastAsiaTheme="majorEastAsia" w:hAnsiTheme="majorHAnsi" w:cstheme="majorBidi"/>
      <w:i/>
      <w:iCs/>
      <w:color w:val="1F3763" w:themeColor="accent1" w:themeShade="7F"/>
      <w:lang w:val="en-GB"/>
    </w:rPr>
  </w:style>
  <w:style w:type="character" w:customStyle="1" w:styleId="Heading2Char">
    <w:name w:val="Heading 2 Char"/>
    <w:basedOn w:val="DefaultParagraphFont"/>
    <w:link w:val="Heading2"/>
    <w:uiPriority w:val="9"/>
    <w:rsid w:val="00C91120"/>
    <w:rPr>
      <w:rFonts w:eastAsiaTheme="majorEastAsia" w:cstheme="majorBidi"/>
      <w:color w:val="66BBCA"/>
      <w:sz w:val="36"/>
      <w:szCs w:val="26"/>
      <w:lang w:val="en-GB"/>
    </w:rPr>
  </w:style>
  <w:style w:type="character" w:customStyle="1" w:styleId="Heading8Char">
    <w:name w:val="Heading 8 Char"/>
    <w:basedOn w:val="DefaultParagraphFont"/>
    <w:link w:val="Heading8"/>
    <w:uiPriority w:val="9"/>
    <w:semiHidden/>
    <w:rsid w:val="00D57F77"/>
    <w:rPr>
      <w:rFonts w:asciiTheme="majorHAnsi" w:eastAsiaTheme="majorEastAsia" w:hAnsiTheme="majorHAnsi" w:cstheme="majorBidi"/>
      <w:color w:val="272727" w:themeColor="text1" w:themeTint="D8"/>
      <w:sz w:val="21"/>
      <w:szCs w:val="21"/>
      <w:lang w:val="en-GB"/>
    </w:rPr>
  </w:style>
  <w:style w:type="table" w:customStyle="1" w:styleId="HARMONITOR-Table1">
    <w:name w:val="HARMONITOR - Table1"/>
    <w:basedOn w:val="GridTable1Light-Accent1"/>
    <w:uiPriority w:val="99"/>
    <w:rsid w:val="00F92C6F"/>
    <w:rPr>
      <w:color w:val="7F7F7F"/>
      <w:sz w:val="20"/>
      <w:szCs w:val="20"/>
      <w:lang w:val="en-GB" w:eastAsia="en-GB"/>
    </w:rPr>
    <w:tblPr/>
    <w:tblStylePr w:type="firstRow">
      <w:rPr>
        <w:rFonts w:ascii="Arial" w:hAnsi="Arial"/>
        <w:b/>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right w:val="nil"/>
          <w:insideH w:val="single" w:sz="4" w:space="0" w:color="FFFFFF" w:themeColor="background1"/>
          <w:insideV w:val="single" w:sz="4" w:space="0" w:color="FFFFFF" w:themeColor="background1"/>
        </w:tcBorders>
        <w:shd w:val="clear" w:color="auto" w:fill="66BBCA"/>
      </w:tcPr>
    </w:tblStylePr>
    <w:tblStylePr w:type="lastRow">
      <w:rPr>
        <w:rFonts w:ascii="Arial" w:hAnsi="Arial"/>
        <w:b/>
        <w:bCs/>
        <w:i w:val="0"/>
        <w:color w:val="7F7F7F"/>
      </w:rPr>
      <w:tblPr/>
      <w:tcPr>
        <w:tcBorders>
          <w:top w:val="nil"/>
          <w:left w:val="single" w:sz="4" w:space="0" w:color="66BBCA"/>
          <w:bottom w:val="single" w:sz="4" w:space="0" w:color="66BBCA"/>
          <w:right w:val="single" w:sz="4" w:space="0" w:color="66BBCA"/>
          <w:insideH w:val="single" w:sz="4" w:space="0" w:color="66BBCA"/>
          <w:insideV w:val="single" w:sz="4" w:space="0" w:color="66BBCA"/>
        </w:tcBorders>
      </w:tcPr>
    </w:tblStylePr>
    <w:tblStylePr w:type="firstCol">
      <w:rPr>
        <w:rFonts w:ascii="Arial" w:hAnsi="Arial"/>
        <w:b/>
        <w:bCs/>
        <w:color w:val="FFFFFF" w:themeColor="background1"/>
        <w:sz w:val="22"/>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66BBCA"/>
      </w:tcPr>
    </w:tblStylePr>
    <w:tblStylePr w:type="lastCol">
      <w:rPr>
        <w:b/>
        <w:bCs/>
        <w:color w:val="7F7F7F"/>
      </w:rPr>
    </w:tblStylePr>
    <w:tblStylePr w:type="band1Horz">
      <w:rPr>
        <w:rFonts w:ascii="Arial" w:hAnsi="Arial"/>
        <w:color w:val="7F7F7F"/>
        <w:sz w:val="22"/>
      </w:rPr>
      <w:tblPr/>
      <w:tcPr>
        <w:tcBorders>
          <w:top w:val="single" w:sz="4" w:space="0" w:color="66BBCA"/>
          <w:left w:val="single" w:sz="4" w:space="0" w:color="66BBCA"/>
          <w:bottom w:val="single" w:sz="4" w:space="0" w:color="66BBCA"/>
          <w:right w:val="single" w:sz="4" w:space="0" w:color="66BBCA"/>
          <w:insideH w:val="single" w:sz="4" w:space="0" w:color="66BBCA"/>
          <w:insideV w:val="single" w:sz="4" w:space="0" w:color="66BBCA"/>
        </w:tcBorders>
      </w:tcPr>
    </w:tblStylePr>
    <w:tblStylePr w:type="band2Horz">
      <w:rPr>
        <w:rFonts w:ascii="Arial" w:hAnsi="Arial"/>
        <w:color w:val="7F7F7F"/>
        <w:sz w:val="22"/>
      </w:rPr>
      <w:tblPr/>
      <w:tcPr>
        <w:tcBorders>
          <w:top w:val="single" w:sz="4" w:space="0" w:color="66BBCA"/>
          <w:left w:val="single" w:sz="4" w:space="0" w:color="66BBCA"/>
          <w:bottom w:val="single" w:sz="4" w:space="0" w:color="66BBCA"/>
          <w:right w:val="single" w:sz="4" w:space="0" w:color="66BBCA"/>
          <w:insideH w:val="single" w:sz="4" w:space="0" w:color="66BBCA"/>
          <w:insideV w:val="single" w:sz="4" w:space="0" w:color="66BBCA"/>
        </w:tcBorders>
      </w:tcPr>
    </w:tblStylePr>
  </w:style>
  <w:style w:type="character" w:customStyle="1" w:styleId="Heading3Char">
    <w:name w:val="Heading 3 Char"/>
    <w:basedOn w:val="DefaultParagraphFont"/>
    <w:link w:val="Heading3"/>
    <w:uiPriority w:val="9"/>
    <w:rsid w:val="004B6CE3"/>
    <w:rPr>
      <w:rFonts w:eastAsiaTheme="majorEastAsia" w:cstheme="majorBidi"/>
      <w:color w:val="66BBCA"/>
      <w:sz w:val="32"/>
      <w:szCs w:val="24"/>
      <w:lang w:val="en-US"/>
    </w:rPr>
  </w:style>
  <w:style w:type="character" w:customStyle="1" w:styleId="Heading9Char">
    <w:name w:val="Heading 9 Char"/>
    <w:basedOn w:val="DefaultParagraphFont"/>
    <w:link w:val="Heading9"/>
    <w:uiPriority w:val="9"/>
    <w:semiHidden/>
    <w:rsid w:val="00D57F77"/>
    <w:rPr>
      <w:rFonts w:asciiTheme="majorHAnsi" w:eastAsiaTheme="majorEastAsia" w:hAnsiTheme="majorHAnsi" w:cstheme="majorBidi"/>
      <w:i/>
      <w:iCs/>
      <w:color w:val="272727" w:themeColor="text1" w:themeTint="D8"/>
      <w:sz w:val="21"/>
      <w:szCs w:val="21"/>
      <w:lang w:val="en-GB"/>
    </w:rPr>
  </w:style>
  <w:style w:type="table" w:styleId="GridTable1Light-Accent1">
    <w:name w:val="Grid Table 1 Light Accent 1"/>
    <w:basedOn w:val="TableNormal"/>
    <w:uiPriority w:val="46"/>
    <w:rsid w:val="00C732D5"/>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HARMONITOR-Table2">
    <w:name w:val="HARMONITOR- Table2"/>
    <w:basedOn w:val="HARMONITOR-Table1"/>
    <w:uiPriority w:val="99"/>
    <w:rsid w:val="000D7ACC"/>
    <w:tblPr/>
    <w:tblStylePr w:type="firstRow">
      <w:rPr>
        <w:rFonts w:ascii="Arial" w:hAnsi="Arial"/>
        <w:b w:val="0"/>
        <w:bCs/>
        <w:color w:val="7F7F7F"/>
        <w:sz w:val="22"/>
      </w:rPr>
      <w:tblPr/>
      <w:tcPr>
        <w:tcBorders>
          <w:top w:val="single" w:sz="4" w:space="0" w:color="FFFFFF" w:themeColor="background1"/>
          <w:left w:val="single" w:sz="4" w:space="0" w:color="FFFFFF" w:themeColor="background1"/>
          <w:bottom w:val="single" w:sz="4" w:space="0" w:color="FFFFFF" w:themeColor="background1"/>
          <w:right w:val="nil"/>
          <w:insideH w:val="single" w:sz="4" w:space="0" w:color="FFFFFF" w:themeColor="background1"/>
          <w:insideV w:val="single" w:sz="4" w:space="0" w:color="FFFFFF" w:themeColor="background1"/>
        </w:tcBorders>
        <w:shd w:val="clear" w:color="auto" w:fill="FFFFFF" w:themeFill="background1"/>
      </w:tcPr>
    </w:tblStylePr>
    <w:tblStylePr w:type="lastRow">
      <w:rPr>
        <w:rFonts w:ascii="Arial" w:hAnsi="Arial"/>
        <w:b/>
        <w:bCs/>
        <w:i w:val="0"/>
        <w:color w:val="7F7F7F"/>
      </w:rPr>
      <w:tblPr/>
      <w:tcPr>
        <w:tcBorders>
          <w:top w:val="nil"/>
          <w:left w:val="single" w:sz="4" w:space="0" w:color="66BBCA"/>
          <w:bottom w:val="single" w:sz="4" w:space="0" w:color="66BBCA"/>
          <w:right w:val="single" w:sz="4" w:space="0" w:color="66BBCA"/>
          <w:insideH w:val="single" w:sz="4" w:space="0" w:color="66BBCA"/>
          <w:insideV w:val="single" w:sz="4" w:space="0" w:color="66BBCA"/>
        </w:tcBorders>
      </w:tcPr>
    </w:tblStylePr>
    <w:tblStylePr w:type="firstCol">
      <w:rPr>
        <w:rFonts w:ascii="Arial" w:hAnsi="Arial"/>
        <w:b/>
        <w:bCs/>
        <w:color w:val="FFFFFF" w:themeColor="background1"/>
        <w:sz w:val="22"/>
      </w:rPr>
      <w:tblPr/>
      <w:tcPr>
        <w:tcBorders>
          <w:top w:val="single" w:sz="4" w:space="0" w:color="FFFFFF" w:themeColor="background1"/>
          <w:left w:val="nil"/>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66BBCA"/>
      </w:tcPr>
    </w:tblStylePr>
    <w:tblStylePr w:type="lastCol">
      <w:rPr>
        <w:b/>
        <w:bCs/>
        <w:color w:val="7F7F7F"/>
      </w:rPr>
    </w:tblStylePr>
    <w:tblStylePr w:type="band1Horz">
      <w:rPr>
        <w:rFonts w:ascii="Arial" w:hAnsi="Arial"/>
        <w:color w:val="7F7F7F"/>
        <w:sz w:val="22"/>
      </w:rPr>
      <w:tblPr/>
      <w:tcPr>
        <w:tcBorders>
          <w:top w:val="single" w:sz="4" w:space="0" w:color="66BBCA"/>
          <w:left w:val="single" w:sz="4" w:space="0" w:color="66BBCA"/>
          <w:bottom w:val="single" w:sz="4" w:space="0" w:color="66BBCA"/>
          <w:right w:val="single" w:sz="4" w:space="0" w:color="66BBCA"/>
          <w:insideH w:val="single" w:sz="4" w:space="0" w:color="66BBCA"/>
          <w:insideV w:val="single" w:sz="4" w:space="0" w:color="66BBCA"/>
        </w:tcBorders>
      </w:tcPr>
    </w:tblStylePr>
    <w:tblStylePr w:type="band2Horz">
      <w:rPr>
        <w:rFonts w:ascii="Arial" w:hAnsi="Arial"/>
        <w:color w:val="7F7F7F"/>
        <w:sz w:val="22"/>
      </w:rPr>
      <w:tblPr/>
      <w:tcPr>
        <w:tcBorders>
          <w:top w:val="single" w:sz="4" w:space="0" w:color="66BBCA"/>
          <w:left w:val="single" w:sz="4" w:space="0" w:color="66BBCA"/>
          <w:bottom w:val="single" w:sz="4" w:space="0" w:color="66BBCA"/>
          <w:right w:val="single" w:sz="4" w:space="0" w:color="66BBCA"/>
          <w:insideH w:val="single" w:sz="4" w:space="0" w:color="66BBCA"/>
          <w:insideV w:val="single" w:sz="4" w:space="0" w:color="66BBCA"/>
        </w:tcBorders>
      </w:tcPr>
    </w:tblStylePr>
    <w:tblStylePr w:type="nwCell">
      <w:tblPr/>
      <w:tcPr>
        <w:shd w:val="clear" w:color="auto" w:fill="66BBCA"/>
      </w:tcPr>
    </w:tblStylePr>
  </w:style>
  <w:style w:type="paragraph" w:styleId="TOC2">
    <w:name w:val="toc 2"/>
    <w:basedOn w:val="Normal"/>
    <w:next w:val="Normal"/>
    <w:autoRedefine/>
    <w:uiPriority w:val="39"/>
    <w:unhideWhenUsed/>
    <w:rsid w:val="00791715"/>
    <w:pPr>
      <w:spacing w:after="100"/>
      <w:ind w:left="220"/>
    </w:pPr>
  </w:style>
  <w:style w:type="paragraph" w:styleId="TOC3">
    <w:name w:val="toc 3"/>
    <w:basedOn w:val="Normal"/>
    <w:next w:val="Normal"/>
    <w:autoRedefine/>
    <w:uiPriority w:val="39"/>
    <w:unhideWhenUsed/>
    <w:rsid w:val="00791715"/>
    <w:pPr>
      <w:spacing w:after="100"/>
      <w:ind w:left="440"/>
    </w:pPr>
  </w:style>
  <w:style w:type="paragraph" w:styleId="FootnoteText">
    <w:name w:val="footnote text"/>
    <w:basedOn w:val="Normal"/>
    <w:link w:val="FootnoteTextChar"/>
    <w:uiPriority w:val="99"/>
    <w:unhideWhenUsed/>
    <w:rsid w:val="006956E5"/>
    <w:pPr>
      <w:keepNext/>
      <w:keepLines/>
      <w:suppressAutoHyphens/>
      <w:spacing w:after="0" w:line="240" w:lineRule="auto"/>
      <w:jc w:val="both"/>
    </w:pPr>
    <w:rPr>
      <w:rFonts w:ascii="Verdana" w:hAnsi="Verdana"/>
      <w:sz w:val="20"/>
      <w:szCs w:val="20"/>
    </w:rPr>
  </w:style>
  <w:style w:type="character" w:customStyle="1" w:styleId="FootnoteTextChar">
    <w:name w:val="Footnote Text Char"/>
    <w:basedOn w:val="DefaultParagraphFont"/>
    <w:link w:val="FootnoteText"/>
    <w:uiPriority w:val="99"/>
    <w:rsid w:val="006956E5"/>
    <w:rPr>
      <w:rFonts w:ascii="Verdana" w:hAnsi="Verdana"/>
      <w:sz w:val="20"/>
      <w:szCs w:val="20"/>
      <w:lang w:val="en-GB"/>
    </w:rPr>
  </w:style>
  <w:style w:type="character" w:styleId="FootnoteReference">
    <w:name w:val="footnote reference"/>
    <w:basedOn w:val="DefaultParagraphFont"/>
    <w:uiPriority w:val="99"/>
    <w:unhideWhenUsed/>
    <w:rsid w:val="006956E5"/>
    <w:rPr>
      <w:vertAlign w:val="superscript"/>
    </w:rPr>
  </w:style>
  <w:style w:type="character" w:styleId="CommentReference">
    <w:name w:val="annotation reference"/>
    <w:basedOn w:val="DefaultParagraphFont"/>
    <w:uiPriority w:val="99"/>
    <w:semiHidden/>
    <w:unhideWhenUsed/>
    <w:rsid w:val="0023381E"/>
    <w:rPr>
      <w:sz w:val="16"/>
      <w:szCs w:val="16"/>
    </w:rPr>
  </w:style>
  <w:style w:type="paragraph" w:styleId="CommentText">
    <w:name w:val="annotation text"/>
    <w:basedOn w:val="Normal"/>
    <w:link w:val="CommentTextChar"/>
    <w:uiPriority w:val="99"/>
    <w:unhideWhenUsed/>
    <w:rsid w:val="0023381E"/>
    <w:pPr>
      <w:spacing w:line="240" w:lineRule="auto"/>
    </w:pPr>
    <w:rPr>
      <w:sz w:val="20"/>
      <w:szCs w:val="20"/>
    </w:rPr>
  </w:style>
  <w:style w:type="character" w:customStyle="1" w:styleId="CommentTextChar">
    <w:name w:val="Comment Text Char"/>
    <w:basedOn w:val="DefaultParagraphFont"/>
    <w:link w:val="CommentText"/>
    <w:uiPriority w:val="99"/>
    <w:rsid w:val="0023381E"/>
    <w:rPr>
      <w:sz w:val="20"/>
      <w:szCs w:val="20"/>
      <w:lang w:val="en-GB"/>
    </w:rPr>
  </w:style>
  <w:style w:type="paragraph" w:styleId="CommentSubject">
    <w:name w:val="annotation subject"/>
    <w:basedOn w:val="CommentText"/>
    <w:next w:val="CommentText"/>
    <w:link w:val="CommentSubjectChar"/>
    <w:uiPriority w:val="99"/>
    <w:semiHidden/>
    <w:unhideWhenUsed/>
    <w:rsid w:val="0023381E"/>
    <w:rPr>
      <w:b/>
      <w:bCs/>
    </w:rPr>
  </w:style>
  <w:style w:type="character" w:customStyle="1" w:styleId="CommentSubjectChar">
    <w:name w:val="Comment Subject Char"/>
    <w:basedOn w:val="CommentTextChar"/>
    <w:link w:val="CommentSubject"/>
    <w:uiPriority w:val="99"/>
    <w:semiHidden/>
    <w:rsid w:val="0023381E"/>
    <w:rPr>
      <w:b/>
      <w:bCs/>
      <w:sz w:val="20"/>
      <w:szCs w:val="20"/>
      <w:lang w:val="en-GB"/>
    </w:rPr>
  </w:style>
  <w:style w:type="paragraph" w:styleId="ListParagraph">
    <w:name w:val="List Paragraph"/>
    <w:basedOn w:val="Normal"/>
    <w:uiPriority w:val="34"/>
    <w:qFormat/>
    <w:rsid w:val="00F7618D"/>
    <w:pPr>
      <w:ind w:left="720"/>
      <w:contextualSpacing/>
    </w:pPr>
  </w:style>
  <w:style w:type="paragraph" w:styleId="Revision">
    <w:name w:val="Revision"/>
    <w:hidden/>
    <w:uiPriority w:val="99"/>
    <w:semiHidden/>
    <w:rsid w:val="00FC3084"/>
    <w:pPr>
      <w:spacing w:after="0" w:line="240" w:lineRule="auto"/>
    </w:pPr>
    <w:rPr>
      <w:lang w:val="en-GB"/>
    </w:rPr>
  </w:style>
  <w:style w:type="paragraph" w:customStyle="1" w:styleId="EndNoteBibliography">
    <w:name w:val="EndNote Bibliography"/>
    <w:basedOn w:val="Normal"/>
    <w:link w:val="EndNoteBibliographyChar"/>
    <w:rsid w:val="00192639"/>
    <w:pPr>
      <w:spacing w:line="240" w:lineRule="auto"/>
    </w:pPr>
    <w:rPr>
      <w:rFonts w:ascii="Open Sans" w:hAnsi="Open Sans" w:cs="Open Sans"/>
      <w:noProof/>
      <w:lang w:val="en-US"/>
    </w:rPr>
  </w:style>
  <w:style w:type="character" w:customStyle="1" w:styleId="EndNoteBibliographyChar">
    <w:name w:val="EndNote Bibliography Char"/>
    <w:basedOn w:val="DefaultParagraphFont"/>
    <w:link w:val="EndNoteBibliography"/>
    <w:rsid w:val="00192639"/>
    <w:rPr>
      <w:rFonts w:ascii="Open Sans" w:hAnsi="Open Sans" w:cs="Open Sans"/>
      <w:noProof/>
      <w:lang w:val="en-US"/>
    </w:rPr>
  </w:style>
  <w:style w:type="character" w:styleId="UnresolvedMention">
    <w:name w:val="Unresolved Mention"/>
    <w:basedOn w:val="DefaultParagraphFont"/>
    <w:uiPriority w:val="99"/>
    <w:semiHidden/>
    <w:unhideWhenUsed/>
    <w:rsid w:val="00AB41DD"/>
    <w:rPr>
      <w:color w:val="605E5C"/>
      <w:shd w:val="clear" w:color="auto" w:fill="E1DFDD"/>
    </w:rPr>
  </w:style>
  <w:style w:type="table" w:styleId="GridTable1Light">
    <w:name w:val="Grid Table 1 Light"/>
    <w:basedOn w:val="TableNormal"/>
    <w:uiPriority w:val="46"/>
    <w:rsid w:val="00C4311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766239">
      <w:bodyDiv w:val="1"/>
      <w:marLeft w:val="0"/>
      <w:marRight w:val="0"/>
      <w:marTop w:val="0"/>
      <w:marBottom w:val="0"/>
      <w:divBdr>
        <w:top w:val="none" w:sz="0" w:space="0" w:color="auto"/>
        <w:left w:val="none" w:sz="0" w:space="0" w:color="auto"/>
        <w:bottom w:val="none" w:sz="0" w:space="0" w:color="auto"/>
        <w:right w:val="none" w:sz="0" w:space="0" w:color="auto"/>
      </w:divBdr>
    </w:div>
    <w:div w:id="185757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armonitor.eu" TargetMode="External"/><Relationship Id="rId18" Type="http://schemas.openxmlformats.org/officeDocument/2006/relationships/package" Target="embeddings/Microsoft_Excel_Macro-Enabled_Worksheet.xlsm"/><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agriculture.ec.europa.eu/common-agricultural-policy/income-support/conditionality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ssi014\Downloads\HARMONITOR%20-%20Template.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D22573D90574EADBF9EF81E0D4A01A6"/>
        <w:category>
          <w:name w:val="General"/>
          <w:gallery w:val="placeholder"/>
        </w:category>
        <w:types>
          <w:type w:val="bbPlcHdr"/>
        </w:types>
        <w:behaviors>
          <w:behavior w:val="content"/>
        </w:behaviors>
        <w:guid w:val="{62208A5B-41A3-434D-9FA6-6F9A31F7656C}"/>
      </w:docPartPr>
      <w:docPartBody>
        <w:p w:rsidR="002A023E" w:rsidRDefault="002A023E">
          <w:pPr>
            <w:pStyle w:val="5D22573D90574EADBF9EF81E0D4A01A6"/>
          </w:pPr>
          <w:r w:rsidRPr="00037FE7">
            <w:rPr>
              <w:rStyle w:val="PlaceholderText"/>
            </w:rPr>
            <w:t>[Title]</w:t>
          </w:r>
        </w:p>
      </w:docPartBody>
    </w:docPart>
    <w:docPart>
      <w:docPartPr>
        <w:name w:val="3D2E21BB01824856BF2C3F1DD3D33FD9"/>
        <w:category>
          <w:name w:val="General"/>
          <w:gallery w:val="placeholder"/>
        </w:category>
        <w:types>
          <w:type w:val="bbPlcHdr"/>
        </w:types>
        <w:behaviors>
          <w:behavior w:val="content"/>
        </w:behaviors>
        <w:guid w:val="{671E3DEE-2866-4B79-AD01-992A89DBB7F4}"/>
      </w:docPartPr>
      <w:docPartBody>
        <w:p w:rsidR="002A023E" w:rsidRDefault="002A023E">
          <w:pPr>
            <w:pStyle w:val="3D2E21BB01824856BF2C3F1DD3D33FD9"/>
          </w:pPr>
          <w:r w:rsidRPr="00037FE7">
            <w:rPr>
              <w:rStyle w:val="PlaceholderText"/>
            </w:rPr>
            <w:t>[Subject]</w:t>
          </w:r>
        </w:p>
      </w:docPartBody>
    </w:docPart>
    <w:docPart>
      <w:docPartPr>
        <w:name w:val="6127859B3CA8406B87CC3490E13D5FB4"/>
        <w:category>
          <w:name w:val="General"/>
          <w:gallery w:val="placeholder"/>
        </w:category>
        <w:types>
          <w:type w:val="bbPlcHdr"/>
        </w:types>
        <w:behaviors>
          <w:behavior w:val="content"/>
        </w:behaviors>
        <w:guid w:val="{AD052432-2581-4F75-9B62-33DE7FCF825F}"/>
      </w:docPartPr>
      <w:docPartBody>
        <w:p w:rsidR="002A023E" w:rsidRDefault="002A023E">
          <w:pPr>
            <w:pStyle w:val="6127859B3CA8406B87CC3490E13D5FB4"/>
          </w:pPr>
          <w:r w:rsidRPr="00D048F8">
            <w:rPr>
              <w:rStyle w:val="PlaceholderText"/>
            </w:rPr>
            <w:t>Click or tap to enter a date.</w:t>
          </w:r>
        </w:p>
      </w:docPartBody>
    </w:docPart>
    <w:docPart>
      <w:docPartPr>
        <w:name w:val="EC43B2AF5A944BAAB6F950F12064CDD6"/>
        <w:category>
          <w:name w:val="General"/>
          <w:gallery w:val="placeholder"/>
        </w:category>
        <w:types>
          <w:type w:val="bbPlcHdr"/>
        </w:types>
        <w:behaviors>
          <w:behavior w:val="content"/>
        </w:behaviors>
        <w:guid w:val="{5674E50A-092A-4EC3-BF1F-B61E19568964}"/>
      </w:docPartPr>
      <w:docPartBody>
        <w:p w:rsidR="002A023E" w:rsidRDefault="002A023E">
          <w:pPr>
            <w:pStyle w:val="EC43B2AF5A944BAAB6F950F12064CDD6"/>
          </w:pPr>
          <w:r w:rsidRPr="00D048F8">
            <w:rPr>
              <w:rStyle w:val="PlaceholderText"/>
            </w:rPr>
            <w:t>Click or tap to enter a date.</w:t>
          </w:r>
        </w:p>
      </w:docPartBody>
    </w:docPart>
    <w:docPart>
      <w:docPartPr>
        <w:name w:val="A632F3E4538A4F9AA56A08F533BBA63E"/>
        <w:category>
          <w:name w:val="General"/>
          <w:gallery w:val="placeholder"/>
        </w:category>
        <w:types>
          <w:type w:val="bbPlcHdr"/>
        </w:types>
        <w:behaviors>
          <w:behavior w:val="content"/>
        </w:behaviors>
        <w:guid w:val="{30BBB88D-2616-4497-A8E0-2CDA0580101C}"/>
      </w:docPartPr>
      <w:docPartBody>
        <w:p w:rsidR="002A023E" w:rsidRDefault="002A023E">
          <w:pPr>
            <w:pStyle w:val="A632F3E4538A4F9AA56A08F533BBA63E"/>
          </w:pPr>
          <w:r w:rsidRPr="00D048F8">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panose1 w:val="020B0606030504020204"/>
    <w:charset w:val="00"/>
    <w:family w:val="swiss"/>
    <w:pitch w:val="variable"/>
    <w:sig w:usb0="E00002EF" w:usb1="4000205B" w:usb2="00000028"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23E"/>
    <w:rsid w:val="00085C03"/>
    <w:rsid w:val="00120233"/>
    <w:rsid w:val="00283F9F"/>
    <w:rsid w:val="002A023E"/>
    <w:rsid w:val="00407390"/>
    <w:rsid w:val="004C493C"/>
    <w:rsid w:val="00564FEA"/>
    <w:rsid w:val="0060309B"/>
    <w:rsid w:val="0079257A"/>
    <w:rsid w:val="007949E3"/>
    <w:rsid w:val="007B4C7A"/>
    <w:rsid w:val="008748D2"/>
    <w:rsid w:val="00920041"/>
    <w:rsid w:val="00A34948"/>
    <w:rsid w:val="00AA18D6"/>
    <w:rsid w:val="00AF7C72"/>
    <w:rsid w:val="00B1750F"/>
    <w:rsid w:val="00C95F1D"/>
    <w:rsid w:val="00CB75F1"/>
    <w:rsid w:val="00EA652A"/>
    <w:rsid w:val="00ED42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nl-NL" w:eastAsia="nl-N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D22573D90574EADBF9EF81E0D4A01A6">
    <w:name w:val="5D22573D90574EADBF9EF81E0D4A01A6"/>
  </w:style>
  <w:style w:type="paragraph" w:customStyle="1" w:styleId="3D2E21BB01824856BF2C3F1DD3D33FD9">
    <w:name w:val="3D2E21BB01824856BF2C3F1DD3D33FD9"/>
  </w:style>
  <w:style w:type="paragraph" w:customStyle="1" w:styleId="6127859B3CA8406B87CC3490E13D5FB4">
    <w:name w:val="6127859B3CA8406B87CC3490E13D5FB4"/>
  </w:style>
  <w:style w:type="paragraph" w:customStyle="1" w:styleId="EC43B2AF5A944BAAB6F950F12064CDD6">
    <w:name w:val="EC43B2AF5A944BAAB6F950F12064CDD6"/>
  </w:style>
  <w:style w:type="paragraph" w:customStyle="1" w:styleId="A632F3E4538A4F9AA56A08F533BBA63E">
    <w:name w:val="A632F3E4538A4F9AA56A08F533BBA6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B9FB4797318CE4CAE15BD665F13CBBA" ma:contentTypeVersion="15" ma:contentTypeDescription="Een nieuw document maken." ma:contentTypeScope="" ma:versionID="f5d3df3ba71b7c6737d7d5c763cb3a54">
  <xsd:schema xmlns:xsd="http://www.w3.org/2001/XMLSchema" xmlns:xs="http://www.w3.org/2001/XMLSchema" xmlns:p="http://schemas.microsoft.com/office/2006/metadata/properties" xmlns:ns2="73347405-3a62-4aac-be46-ca0f51777d2f" xmlns:ns3="768d371e-ed6e-4347-9b0e-6560d5daade5" targetNamespace="http://schemas.microsoft.com/office/2006/metadata/properties" ma:root="true" ma:fieldsID="bb37d239fa16c0b222958e54a19423a2" ns2:_="" ns3:_="">
    <xsd:import namespace="73347405-3a62-4aac-be46-ca0f51777d2f"/>
    <xsd:import namespace="768d371e-ed6e-4347-9b0e-6560d5daad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347405-3a62-4aac-be46-ca0f51777d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4530d5e0-0d82-4f06-a5b6-46baad5a041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68d371e-ed6e-4347-9b0e-6560d5daad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dcbe82f-7350-4891-b453-f8193813632b}" ma:internalName="TaxCatchAll" ma:showField="CatchAllData" ma:web="768d371e-ed6e-4347-9b0e-6560d5daade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68d371e-ed6e-4347-9b0e-6560d5daade5" xsi:nil="true"/>
    <lcf76f155ced4ddcb4097134ff3c332f xmlns="73347405-3a62-4aac-be46-ca0f51777d2f">
      <Terms xmlns="http://schemas.microsoft.com/office/infopath/2007/PartnerControls"/>
    </lcf76f155ced4ddcb4097134ff3c332f>
    <SharedWithUsers xmlns="768d371e-ed6e-4347-9b0e-6560d5daade5">
      <UserInfo>
        <DisplayName>HARMONITOR - Leden</DisplayName>
        <AccountId>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4973F-CCA0-42ED-957F-33539977B499}">
  <ds:schemaRefs>
    <ds:schemaRef ds:uri="http://schemas.microsoft.com/sharepoint/v3/contenttype/forms"/>
  </ds:schemaRefs>
</ds:datastoreItem>
</file>

<file path=customXml/itemProps2.xml><?xml version="1.0" encoding="utf-8"?>
<ds:datastoreItem xmlns:ds="http://schemas.openxmlformats.org/officeDocument/2006/customXml" ds:itemID="{7EDCDE33-7D9F-4166-A517-548FF9AD6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347405-3a62-4aac-be46-ca0f51777d2f"/>
    <ds:schemaRef ds:uri="768d371e-ed6e-4347-9b0e-6560d5daad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2058D7-65B0-45BD-9406-6A8EE9A03439}">
  <ds:schemaRefs>
    <ds:schemaRef ds:uri="http://schemas.microsoft.com/office/2006/metadata/properties"/>
    <ds:schemaRef ds:uri="http://schemas.microsoft.com/office/infopath/2007/PartnerControls"/>
    <ds:schemaRef ds:uri="768d371e-ed6e-4347-9b0e-6560d5daade5"/>
    <ds:schemaRef ds:uri="73347405-3a62-4aac-be46-ca0f51777d2f"/>
  </ds:schemaRefs>
</ds:datastoreItem>
</file>

<file path=customXml/itemProps4.xml><?xml version="1.0" encoding="utf-8"?>
<ds:datastoreItem xmlns:ds="http://schemas.openxmlformats.org/officeDocument/2006/customXml" ds:itemID="{9B7EAEEA-38EC-4A39-B03A-2F20A985F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HARMONITOR - Template</Template>
  <TotalTime>0</TotalTime>
  <Pages>1</Pages>
  <Words>10763</Words>
  <Characters>59199</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D6.1</vt:lpstr>
    </vt:vector>
  </TitlesOfParts>
  <Company>Utrecht University</Company>
  <LinksUpToDate>false</LinksUpToDate>
  <CharactersWithSpaces>69823</CharactersWithSpaces>
  <SharedDoc>false</SharedDoc>
  <HLinks>
    <vt:vector size="138" baseType="variant">
      <vt:variant>
        <vt:i4>2490390</vt:i4>
      </vt:variant>
      <vt:variant>
        <vt:i4>180</vt:i4>
      </vt:variant>
      <vt:variant>
        <vt:i4>0</vt:i4>
      </vt:variant>
      <vt:variant>
        <vt:i4>5</vt:i4>
      </vt:variant>
      <vt:variant>
        <vt:lpwstr>https://agriculture.ec.europa.eu/common-agricultural-policy/income-support/conditionality_en</vt:lpwstr>
      </vt:variant>
      <vt:variant>
        <vt:lpwstr/>
      </vt:variant>
      <vt:variant>
        <vt:i4>65598</vt:i4>
      </vt:variant>
      <vt:variant>
        <vt:i4>129</vt:i4>
      </vt:variant>
      <vt:variant>
        <vt:i4>0</vt:i4>
      </vt:variant>
      <vt:variant>
        <vt:i4>5</vt:i4>
      </vt:variant>
      <vt:variant>
        <vt:lpwstr/>
      </vt:variant>
      <vt:variant>
        <vt:lpwstr>_Database</vt:lpwstr>
      </vt:variant>
      <vt:variant>
        <vt:i4>65598</vt:i4>
      </vt:variant>
      <vt:variant>
        <vt:i4>120</vt:i4>
      </vt:variant>
      <vt:variant>
        <vt:i4>0</vt:i4>
      </vt:variant>
      <vt:variant>
        <vt:i4>5</vt:i4>
      </vt:variant>
      <vt:variant>
        <vt:lpwstr/>
      </vt:variant>
      <vt:variant>
        <vt:lpwstr>_Database</vt:lpwstr>
      </vt:variant>
      <vt:variant>
        <vt:i4>1310775</vt:i4>
      </vt:variant>
      <vt:variant>
        <vt:i4>113</vt:i4>
      </vt:variant>
      <vt:variant>
        <vt:i4>0</vt:i4>
      </vt:variant>
      <vt:variant>
        <vt:i4>5</vt:i4>
      </vt:variant>
      <vt:variant>
        <vt:lpwstr/>
      </vt:variant>
      <vt:variant>
        <vt:lpwstr>_Toc166064613</vt:lpwstr>
      </vt:variant>
      <vt:variant>
        <vt:i4>1310775</vt:i4>
      </vt:variant>
      <vt:variant>
        <vt:i4>107</vt:i4>
      </vt:variant>
      <vt:variant>
        <vt:i4>0</vt:i4>
      </vt:variant>
      <vt:variant>
        <vt:i4>5</vt:i4>
      </vt:variant>
      <vt:variant>
        <vt:lpwstr/>
      </vt:variant>
      <vt:variant>
        <vt:lpwstr>_Toc166064612</vt:lpwstr>
      </vt:variant>
      <vt:variant>
        <vt:i4>1310775</vt:i4>
      </vt:variant>
      <vt:variant>
        <vt:i4>101</vt:i4>
      </vt:variant>
      <vt:variant>
        <vt:i4>0</vt:i4>
      </vt:variant>
      <vt:variant>
        <vt:i4>5</vt:i4>
      </vt:variant>
      <vt:variant>
        <vt:lpwstr/>
      </vt:variant>
      <vt:variant>
        <vt:lpwstr>_Toc166064611</vt:lpwstr>
      </vt:variant>
      <vt:variant>
        <vt:i4>1310775</vt:i4>
      </vt:variant>
      <vt:variant>
        <vt:i4>95</vt:i4>
      </vt:variant>
      <vt:variant>
        <vt:i4>0</vt:i4>
      </vt:variant>
      <vt:variant>
        <vt:i4>5</vt:i4>
      </vt:variant>
      <vt:variant>
        <vt:lpwstr/>
      </vt:variant>
      <vt:variant>
        <vt:lpwstr>_Toc166064610</vt:lpwstr>
      </vt:variant>
      <vt:variant>
        <vt:i4>1376311</vt:i4>
      </vt:variant>
      <vt:variant>
        <vt:i4>89</vt:i4>
      </vt:variant>
      <vt:variant>
        <vt:i4>0</vt:i4>
      </vt:variant>
      <vt:variant>
        <vt:i4>5</vt:i4>
      </vt:variant>
      <vt:variant>
        <vt:lpwstr/>
      </vt:variant>
      <vt:variant>
        <vt:lpwstr>_Toc166064609</vt:lpwstr>
      </vt:variant>
      <vt:variant>
        <vt:i4>1376311</vt:i4>
      </vt:variant>
      <vt:variant>
        <vt:i4>83</vt:i4>
      </vt:variant>
      <vt:variant>
        <vt:i4>0</vt:i4>
      </vt:variant>
      <vt:variant>
        <vt:i4>5</vt:i4>
      </vt:variant>
      <vt:variant>
        <vt:lpwstr/>
      </vt:variant>
      <vt:variant>
        <vt:lpwstr>_Toc166064608</vt:lpwstr>
      </vt:variant>
      <vt:variant>
        <vt:i4>1376311</vt:i4>
      </vt:variant>
      <vt:variant>
        <vt:i4>77</vt:i4>
      </vt:variant>
      <vt:variant>
        <vt:i4>0</vt:i4>
      </vt:variant>
      <vt:variant>
        <vt:i4>5</vt:i4>
      </vt:variant>
      <vt:variant>
        <vt:lpwstr/>
      </vt:variant>
      <vt:variant>
        <vt:lpwstr>_Toc166064607</vt:lpwstr>
      </vt:variant>
      <vt:variant>
        <vt:i4>1376311</vt:i4>
      </vt:variant>
      <vt:variant>
        <vt:i4>71</vt:i4>
      </vt:variant>
      <vt:variant>
        <vt:i4>0</vt:i4>
      </vt:variant>
      <vt:variant>
        <vt:i4>5</vt:i4>
      </vt:variant>
      <vt:variant>
        <vt:lpwstr/>
      </vt:variant>
      <vt:variant>
        <vt:lpwstr>_Toc166064606</vt:lpwstr>
      </vt:variant>
      <vt:variant>
        <vt:i4>1376311</vt:i4>
      </vt:variant>
      <vt:variant>
        <vt:i4>65</vt:i4>
      </vt:variant>
      <vt:variant>
        <vt:i4>0</vt:i4>
      </vt:variant>
      <vt:variant>
        <vt:i4>5</vt:i4>
      </vt:variant>
      <vt:variant>
        <vt:lpwstr/>
      </vt:variant>
      <vt:variant>
        <vt:lpwstr>_Toc166064602</vt:lpwstr>
      </vt:variant>
      <vt:variant>
        <vt:i4>1376311</vt:i4>
      </vt:variant>
      <vt:variant>
        <vt:i4>59</vt:i4>
      </vt:variant>
      <vt:variant>
        <vt:i4>0</vt:i4>
      </vt:variant>
      <vt:variant>
        <vt:i4>5</vt:i4>
      </vt:variant>
      <vt:variant>
        <vt:lpwstr/>
      </vt:variant>
      <vt:variant>
        <vt:lpwstr>_Toc166064601</vt:lpwstr>
      </vt:variant>
      <vt:variant>
        <vt:i4>1835060</vt:i4>
      </vt:variant>
      <vt:variant>
        <vt:i4>53</vt:i4>
      </vt:variant>
      <vt:variant>
        <vt:i4>0</vt:i4>
      </vt:variant>
      <vt:variant>
        <vt:i4>5</vt:i4>
      </vt:variant>
      <vt:variant>
        <vt:lpwstr/>
      </vt:variant>
      <vt:variant>
        <vt:lpwstr>_Toc166064596</vt:lpwstr>
      </vt:variant>
      <vt:variant>
        <vt:i4>1835060</vt:i4>
      </vt:variant>
      <vt:variant>
        <vt:i4>47</vt:i4>
      </vt:variant>
      <vt:variant>
        <vt:i4>0</vt:i4>
      </vt:variant>
      <vt:variant>
        <vt:i4>5</vt:i4>
      </vt:variant>
      <vt:variant>
        <vt:lpwstr/>
      </vt:variant>
      <vt:variant>
        <vt:lpwstr>_Toc166064595</vt:lpwstr>
      </vt:variant>
      <vt:variant>
        <vt:i4>1835060</vt:i4>
      </vt:variant>
      <vt:variant>
        <vt:i4>41</vt:i4>
      </vt:variant>
      <vt:variant>
        <vt:i4>0</vt:i4>
      </vt:variant>
      <vt:variant>
        <vt:i4>5</vt:i4>
      </vt:variant>
      <vt:variant>
        <vt:lpwstr/>
      </vt:variant>
      <vt:variant>
        <vt:lpwstr>_Toc166064594</vt:lpwstr>
      </vt:variant>
      <vt:variant>
        <vt:i4>1835060</vt:i4>
      </vt:variant>
      <vt:variant>
        <vt:i4>35</vt:i4>
      </vt:variant>
      <vt:variant>
        <vt:i4>0</vt:i4>
      </vt:variant>
      <vt:variant>
        <vt:i4>5</vt:i4>
      </vt:variant>
      <vt:variant>
        <vt:lpwstr/>
      </vt:variant>
      <vt:variant>
        <vt:lpwstr>_Toc166064593</vt:lpwstr>
      </vt:variant>
      <vt:variant>
        <vt:i4>1835060</vt:i4>
      </vt:variant>
      <vt:variant>
        <vt:i4>29</vt:i4>
      </vt:variant>
      <vt:variant>
        <vt:i4>0</vt:i4>
      </vt:variant>
      <vt:variant>
        <vt:i4>5</vt:i4>
      </vt:variant>
      <vt:variant>
        <vt:lpwstr/>
      </vt:variant>
      <vt:variant>
        <vt:lpwstr>_Toc166064592</vt:lpwstr>
      </vt:variant>
      <vt:variant>
        <vt:i4>1835060</vt:i4>
      </vt:variant>
      <vt:variant>
        <vt:i4>23</vt:i4>
      </vt:variant>
      <vt:variant>
        <vt:i4>0</vt:i4>
      </vt:variant>
      <vt:variant>
        <vt:i4>5</vt:i4>
      </vt:variant>
      <vt:variant>
        <vt:lpwstr/>
      </vt:variant>
      <vt:variant>
        <vt:lpwstr>_Toc166064591</vt:lpwstr>
      </vt:variant>
      <vt:variant>
        <vt:i4>1835060</vt:i4>
      </vt:variant>
      <vt:variant>
        <vt:i4>17</vt:i4>
      </vt:variant>
      <vt:variant>
        <vt:i4>0</vt:i4>
      </vt:variant>
      <vt:variant>
        <vt:i4>5</vt:i4>
      </vt:variant>
      <vt:variant>
        <vt:lpwstr/>
      </vt:variant>
      <vt:variant>
        <vt:lpwstr>_Toc166064590</vt:lpwstr>
      </vt:variant>
      <vt:variant>
        <vt:i4>1900596</vt:i4>
      </vt:variant>
      <vt:variant>
        <vt:i4>11</vt:i4>
      </vt:variant>
      <vt:variant>
        <vt:i4>0</vt:i4>
      </vt:variant>
      <vt:variant>
        <vt:i4>5</vt:i4>
      </vt:variant>
      <vt:variant>
        <vt:lpwstr/>
      </vt:variant>
      <vt:variant>
        <vt:lpwstr>_Toc166064589</vt:lpwstr>
      </vt:variant>
      <vt:variant>
        <vt:i4>1900596</vt:i4>
      </vt:variant>
      <vt:variant>
        <vt:i4>5</vt:i4>
      </vt:variant>
      <vt:variant>
        <vt:i4>0</vt:i4>
      </vt:variant>
      <vt:variant>
        <vt:i4>5</vt:i4>
      </vt:variant>
      <vt:variant>
        <vt:lpwstr/>
      </vt:variant>
      <vt:variant>
        <vt:lpwstr>_Toc166064587</vt:lpwstr>
      </vt:variant>
      <vt:variant>
        <vt:i4>196689</vt:i4>
      </vt:variant>
      <vt:variant>
        <vt:i4>0</vt:i4>
      </vt:variant>
      <vt:variant>
        <vt:i4>0</vt:i4>
      </vt:variant>
      <vt:variant>
        <vt:i4>5</vt:i4>
      </vt:variant>
      <vt:variant>
        <vt:lpwstr>http://www.harmonitor.eu/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D6.1</dc:title>
  <dc:subject>Online database with (in)direct costs and benefits</dc:subject>
  <dc:creator>bwicke</dc:creator>
  <cp:keywords/>
  <dc:description/>
  <cp:lastModifiedBy>Rossi, C. (Costanza)</cp:lastModifiedBy>
  <cp:revision>1</cp:revision>
  <cp:lastPrinted>2024-05-27T10:55:00Z</cp:lastPrinted>
  <dcterms:created xsi:type="dcterms:W3CDTF">2025-07-14T10:26:00Z</dcterms:created>
  <dcterms:modified xsi:type="dcterms:W3CDTF">2025-07-14T10:26:00Z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0x010100CB9FB4797318CE4CAE15BD665F13CBBA</vt:lpwstr>
  </property>
  <property fmtid="{D5CDD505-2E9C-101B-9397-08002B2CF9AE}" pid="3" name="MediaServiceImageTags">
    <vt:lpwstr/>
  </property>
</Properties>
</file>